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NEWELL RUBBERMAID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651229106</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651229106</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r>
      <w:r>
        <w:rPr>
          <w:sz w:val="20"/>
          <w:szCs w:val="20"/>
          <w:color w:val="auto"/>
        </w:rPr>
        <w:tab/>
      </w:r>
      <w:r>
        <w:rPr>
          <w:rFonts w:ascii="Courier New" w:cs="Courier New" w:eastAsia="Courier New" w:hAnsi="Courier New"/>
          <w:sz w:val="16"/>
          <w:szCs w:val="16"/>
          <w:color w:val="auto"/>
        </w:rPr>
        <w:t>Sachs Asset Management</w:t>
      </w:r>
    </w:p>
    <w:p>
      <w:pPr>
        <w:spacing w:after="0" w:line="4" w:lineRule="exact"/>
        <w:rPr>
          <w:sz w:val="24"/>
          <w:szCs w:val="24"/>
          <w:color w:val="auto"/>
        </w:rPr>
      </w:pPr>
    </w:p>
    <w:p>
      <w:pPr>
        <w:ind w:left="1160" w:right="261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7180" w:hanging="430"/>
        <w:spacing w:after="0"/>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52"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18,432,476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19,320,969</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19,320,969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6.7 %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9</w:t>
      </w:r>
    </w:p>
    <w:p>
      <w:pPr>
        <w:sectPr>
          <w:pgSz w:w="11900" w:h="16838" w:orient="portrait"/>
          <w:cols w:equalWidth="0" w:num="1">
            <w:col w:w="10219"/>
          </w:cols>
          <w:pgMar w:left="2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60" w:type="dxa"/>
            <w:vAlign w:val="bottom"/>
          </w:tcPr>
          <w:p>
            <w:pPr>
              <w:spacing w:after="0"/>
              <w:rPr>
                <w:sz w:val="17"/>
                <w:szCs w:val="17"/>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NEWELL RUBBERMAID INC.</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Three Glenlake Parkway</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Atlanta, GA 30328</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Name of Persons Filing:</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 West Street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 York, NY 10282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GOLDMAN SACHS ASSET MANAGEMENT, L.P. - Delaware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GS INVESTMENT STRATEGIES, LLC - Delaware</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 $1.00 par value</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651229106</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78o).</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7"/>
              </w:rPr>
              <w:t>Insurance company as defined in Section 3(a)(19)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 (15 U.S.C. 80a-8).</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w w:val="95"/>
              </w:rPr>
              <w:t>(e).[X]</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An investment adviser in accordance with</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13d-1(b)(1)(ii)(E);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Goldman Sachs Asset Management, L.P.</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(f).[</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An employee benefit plan or endowment fund in accordance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 13d-1(b)(1)(ii)(F);</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(g).[</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parent holding company or control person in accordance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 13d-1(b)(1)(ii)(G);</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(h).[</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savings association as defined in Section 3(b)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(i).[</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church plan that is excluded from the definition of an</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 (15 U.S.C. 80a-3);</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(j).[</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Group, in accordance with Rule 13d-1(b)(1)(ii)(J).</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1320"/>
              <w:spacing w:after="0"/>
              <w:rPr>
                <w:sz w:val="20"/>
                <w:szCs w:val="20"/>
                <w:color w:val="auto"/>
              </w:rPr>
            </w:pPr>
            <w:r>
              <w:rPr>
                <w:rFonts w:ascii="Courier New" w:cs="Courier New" w:eastAsia="Courier New" w:hAnsi="Courier New"/>
                <w:sz w:val="18"/>
                <w:szCs w:val="18"/>
                <w:color w:val="auto"/>
              </w:rPr>
              <w:t>Page 3 of 9</w:t>
            </w:r>
          </w:p>
        </w:tc>
      </w:tr>
    </w:tbl>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9"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2000" w:right="1879"/>
        <w:spacing w:after="0"/>
        <w:rPr>
          <w:sz w:val="20"/>
          <w:szCs w:val="20"/>
          <w:color w:val="auto"/>
        </w:rPr>
      </w:pPr>
      <w:r>
        <w:rPr>
          <w:rFonts w:ascii="Courier New" w:cs="Courier New" w:eastAsia="Courier New" w:hAnsi="Courier New"/>
          <w:sz w:val="18"/>
          <w:szCs w:val="18"/>
          <w:color w:val="auto"/>
        </w:rPr>
        <w:t>Clients of the Reporting Person(s) have or may have the right to receive or the power to direct the receipt of dividends from,or the proceeds from the sale of, securities held in their accounts. Clients known to have such right or power with respect to more than 5% of the class of securities to which this report relates are: NONE</w:t>
      </w:r>
    </w:p>
    <w:p>
      <w:pPr>
        <w:spacing w:after="0" w:line="397" w:lineRule="exact"/>
        <w:rPr>
          <w:sz w:val="20"/>
          <w:szCs w:val="20"/>
          <w:color w:val="auto"/>
        </w:rPr>
      </w:pPr>
    </w:p>
    <w:p>
      <w:pPr>
        <w:jc w:val="both"/>
        <w:ind w:left="2000" w:right="18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2840" w:type="dxa"/>
            <w:vAlign w:val="bottom"/>
            <w:gridSpan w:val="2"/>
          </w:tcPr>
          <w:p>
            <w:pPr>
              <w:ind w:left="560"/>
              <w:spacing w:after="0"/>
              <w:rPr>
                <w:sz w:val="20"/>
                <w:szCs w:val="20"/>
                <w:color w:val="auto"/>
              </w:rPr>
            </w:pPr>
            <w:r>
              <w:rPr>
                <w:rFonts w:ascii="Courier New" w:cs="Courier New" w:eastAsia="Courier New" w:hAnsi="Courier New"/>
                <w:sz w:val="18"/>
                <w:szCs w:val="18"/>
                <w:color w:val="auto"/>
                <w:w w:val="99"/>
              </w:rPr>
              <w:t>Notice of Dissolution</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of Group.</w:t>
            </w:r>
          </w:p>
        </w:tc>
        <w:tc>
          <w:tcPr>
            <w:tcW w:w="2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300" w:type="dxa"/>
            <w:vAlign w:val="bottom"/>
            <w:gridSpan w:val="3"/>
          </w:tcPr>
          <w:p>
            <w:pPr>
              <w:ind w:left="1620"/>
              <w:spacing w:after="0" w:line="203" w:lineRule="exact"/>
              <w:rPr>
                <w:sz w:val="20"/>
                <w:szCs w:val="20"/>
                <w:color w:val="auto"/>
              </w:rPr>
            </w:pPr>
            <w:r>
              <w:rPr>
                <w:rFonts w:ascii="Courier New" w:cs="Courier New" w:eastAsia="Courier New" w:hAnsi="Courier New"/>
                <w:sz w:val="18"/>
                <w:szCs w:val="18"/>
                <w:color w:val="auto"/>
              </w:rPr>
              <w:t>Not Applicable</w:t>
            </w:r>
          </w:p>
        </w:tc>
        <w:tc>
          <w:tcPr>
            <w:tcW w:w="2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00" w:type="dxa"/>
            <w:vAlign w:val="bottom"/>
          </w:tcPr>
          <w:p>
            <w:pPr>
              <w:ind w:left="560"/>
              <w:spacing w:after="0"/>
              <w:rPr>
                <w:sz w:val="20"/>
                <w:szCs w:val="20"/>
                <w:color w:val="auto"/>
              </w:rPr>
            </w:pPr>
            <w:r>
              <w:rPr>
                <w:rFonts w:ascii="Courier New" w:cs="Courier New" w:eastAsia="Courier New" w:hAnsi="Courier New"/>
                <w:sz w:val="18"/>
                <w:szCs w:val="18"/>
                <w:color w:val="auto"/>
              </w:rPr>
              <w:t>Certification.</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430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8"/>
              </w:rPr>
              <w:t>By signing below I certify that, to</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best of my knowledge</w:t>
            </w:r>
          </w:p>
        </w:tc>
      </w:tr>
      <w:tr>
        <w:trPr>
          <w:trHeight w:val="203"/>
        </w:trPr>
        <w:tc>
          <w:tcPr>
            <w:tcW w:w="1440" w:type="dxa"/>
            <w:vAlign w:val="bottom"/>
          </w:tcPr>
          <w:p>
            <w:pPr>
              <w:spacing w:after="0"/>
              <w:rPr>
                <w:sz w:val="17"/>
                <w:szCs w:val="17"/>
                <w:color w:val="auto"/>
              </w:rPr>
            </w:pPr>
          </w:p>
        </w:tc>
        <w:tc>
          <w:tcPr>
            <w:tcW w:w="22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and belief, the</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securities referred</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above were acquired</w:t>
            </w:r>
          </w:p>
        </w:tc>
      </w:tr>
      <w:tr>
        <w:trPr>
          <w:trHeight w:val="203"/>
        </w:trPr>
        <w:tc>
          <w:tcPr>
            <w:tcW w:w="1440" w:type="dxa"/>
            <w:vAlign w:val="bottom"/>
          </w:tcPr>
          <w:p>
            <w:pPr>
              <w:spacing w:after="0"/>
              <w:rPr>
                <w:sz w:val="17"/>
                <w:szCs w:val="17"/>
                <w:color w:val="auto"/>
              </w:rPr>
            </w:pPr>
          </w:p>
        </w:tc>
        <w:tc>
          <w:tcPr>
            <w:tcW w:w="22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ordinary course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business and were not</w:t>
            </w:r>
          </w:p>
        </w:tc>
      </w:tr>
      <w:tr>
        <w:trPr>
          <w:trHeight w:val="203"/>
        </w:trPr>
        <w:tc>
          <w:tcPr>
            <w:tcW w:w="1440" w:type="dxa"/>
            <w:vAlign w:val="bottom"/>
          </w:tcPr>
          <w:p>
            <w:pPr>
              <w:spacing w:after="0"/>
              <w:rPr>
                <w:sz w:val="17"/>
                <w:szCs w:val="17"/>
                <w:color w:val="auto"/>
              </w:rPr>
            </w:pPr>
          </w:p>
        </w:tc>
        <w:tc>
          <w:tcPr>
            <w:tcW w:w="70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40" w:type="dxa"/>
            <w:vAlign w:val="bottom"/>
          </w:tcPr>
          <w:p>
            <w:pPr>
              <w:spacing w:after="0"/>
              <w:rPr>
                <w:sz w:val="17"/>
                <w:szCs w:val="17"/>
                <w:color w:val="auto"/>
              </w:rPr>
            </w:pPr>
          </w:p>
        </w:tc>
        <w:tc>
          <w:tcPr>
            <w:tcW w:w="284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w w:val="99"/>
              </w:rPr>
              <w:t>effect of changing or</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1440" w:type="dxa"/>
            <w:vAlign w:val="bottom"/>
          </w:tcPr>
          <w:p>
            <w:pPr>
              <w:spacing w:after="0"/>
              <w:rPr>
                <w:sz w:val="17"/>
                <w:szCs w:val="17"/>
                <w:color w:val="auto"/>
              </w:rPr>
            </w:pPr>
          </w:p>
        </w:tc>
        <w:tc>
          <w:tcPr>
            <w:tcW w:w="284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w w:val="99"/>
              </w:rPr>
              <w:t>of the securities and</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not acquired and are not held in</w:t>
            </w:r>
          </w:p>
        </w:tc>
      </w:tr>
      <w:tr>
        <w:trPr>
          <w:trHeight w:val="203"/>
        </w:trPr>
        <w:tc>
          <w:tcPr>
            <w:tcW w:w="1440" w:type="dxa"/>
            <w:vAlign w:val="bottom"/>
          </w:tcPr>
          <w:p>
            <w:pPr>
              <w:spacing w:after="0"/>
              <w:rPr>
                <w:sz w:val="17"/>
                <w:szCs w:val="17"/>
                <w:color w:val="auto"/>
              </w:rPr>
            </w:pPr>
          </w:p>
        </w:tc>
        <w:tc>
          <w:tcPr>
            <w:tcW w:w="22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connection with</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as</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 participant</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 any transaction having</w:t>
            </w:r>
          </w:p>
        </w:tc>
      </w:tr>
      <w:tr>
        <w:trPr>
          <w:trHeight w:val="203"/>
        </w:trPr>
        <w:tc>
          <w:tcPr>
            <w:tcW w:w="1440" w:type="dxa"/>
            <w:vAlign w:val="bottom"/>
          </w:tcPr>
          <w:p>
            <w:pPr>
              <w:spacing w:after="0"/>
              <w:rPr>
                <w:sz w:val="17"/>
                <w:szCs w:val="17"/>
                <w:color w:val="auto"/>
              </w:rPr>
            </w:pPr>
          </w:p>
        </w:tc>
        <w:tc>
          <w:tcPr>
            <w:tcW w:w="22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that purpose or</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effect.</w:t>
            </w:r>
          </w:p>
        </w:tc>
        <w:tc>
          <w:tcPr>
            <w:tcW w:w="2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Securities  and  Exchange  Commission  Release  No.</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34-39538 (January 12, 1998) (the "Release"), this filing reflects the securities beneficially owned by Goldman Sachs Asset Management, L.P. ("GSAM") and GS Investment Strategies, LLC ("GSIS"), each a wholly-owned subsidiary of The Goldman Sachs Group, Inc. ("GS Group"). This filing does not reflect securities, if any, beneficially owned by any other subsidiaries of GS Group whose ownership is disaggregated from that of GSAM and GSIS in accordance with the Release. GSAM and GSIS, each an investment adviser, disclaim beneficial ownership of the securities beneficially owned by (i) any client accounts with respect to which GSAM or GSIS or their employees have voting or investment discretion, or both and (ii) securities managed, if any, on GSAM's or GSIS's behalf, by third parties.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9</w:t>
      </w:r>
    </w:p>
    <w:p>
      <w:pPr>
        <w:sectPr>
          <w:pgSz w:w="11900" w:h="16838" w:orient="portrait"/>
          <w:cols w:equalWidth="0" w:num="1">
            <w:col w:w="10219"/>
          </w:cols>
          <w:pgMar w:left="240" w:top="520" w:right="1440" w:bottom="0" w:gutter="0" w:footer="0" w:header="0"/>
          <w:type w:val="continuous"/>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2011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By:/s/</w:t>
        <w:tab/>
        <w:t>Jeremy</w:t>
      </w:r>
      <w:r>
        <w:rPr>
          <w:sz w:val="20"/>
          <w:szCs w:val="20"/>
          <w:color w:val="auto"/>
        </w:rPr>
        <w:tab/>
      </w:r>
      <w:r>
        <w:rPr>
          <w:rFonts w:ascii="Courier New" w:cs="Courier New" w:eastAsia="Courier New" w:hAnsi="Courier New"/>
          <w:sz w:val="16"/>
          <w:szCs w:val="16"/>
          <w:color w:val="auto"/>
        </w:rPr>
        <w:t>Kahn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Jeremy</w:t>
      </w:r>
      <w:r>
        <w:rPr>
          <w:sz w:val="20"/>
          <w:szCs w:val="20"/>
          <w:color w:val="auto"/>
        </w:rPr>
        <w:tab/>
      </w:r>
      <w:r>
        <w:rPr>
          <w:rFonts w:ascii="Courier New" w:cs="Courier New" w:eastAsia="Courier New" w:hAnsi="Courier New"/>
          <w:sz w:val="16"/>
          <w:szCs w:val="16"/>
          <w:color w:val="auto"/>
        </w:rPr>
        <w:t>Kahn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By:/s/</w:t>
        <w:tab/>
        <w:t>Jeremy</w:t>
      </w:r>
      <w:r>
        <w:rPr>
          <w:sz w:val="20"/>
          <w:szCs w:val="20"/>
          <w:color w:val="auto"/>
        </w:rPr>
        <w:tab/>
      </w:r>
      <w:r>
        <w:rPr>
          <w:rFonts w:ascii="Courier New" w:cs="Courier New" w:eastAsia="Courier New" w:hAnsi="Courier New"/>
          <w:sz w:val="16"/>
          <w:szCs w:val="16"/>
          <w:color w:val="auto"/>
        </w:rPr>
        <w:t>Kahn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Jeremy</w:t>
      </w:r>
      <w:r>
        <w:rPr>
          <w:sz w:val="20"/>
          <w:szCs w:val="20"/>
          <w:color w:val="auto"/>
        </w:rPr>
        <w:tab/>
      </w:r>
      <w:r>
        <w:rPr>
          <w:rFonts w:ascii="Courier New" w:cs="Courier New" w:eastAsia="Courier New" w:hAnsi="Courier New"/>
          <w:sz w:val="16"/>
          <w:szCs w:val="16"/>
          <w:color w:val="auto"/>
        </w:rPr>
        <w:t>Kahn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3940" w:type="dxa"/>
            <w:vAlign w:val="bottom"/>
          </w:tcPr>
          <w:p>
            <w:pPr>
              <w:ind w:left="184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940" w:type="dxa"/>
            <w:vAlign w:val="bottom"/>
          </w:tcPr>
          <w:p>
            <w:pPr>
              <w:ind w:left="10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4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99.1</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99.2</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540" w:type="dxa"/>
            <w:vAlign w:val="bottom"/>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r>
      <w:tr>
        <w:trPr>
          <w:trHeight w:val="203"/>
        </w:trPr>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99.3</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540" w:type="dxa"/>
            <w:vAlign w:val="bottom"/>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$1.00 par value, of NEWELL RUBBERMAID INC.</w:t>
      </w:r>
    </w:p>
    <w:p>
      <w:pPr>
        <w:spacing w:after="0"/>
        <w:tabs>
          <w:tab w:leader="none" w:pos="5360" w:val="left"/>
        </w:tabs>
        <w:rPr>
          <w:sz w:val="20"/>
          <w:szCs w:val="20"/>
          <w:color w:val="auto"/>
        </w:rPr>
      </w:pPr>
      <w:r>
        <w:rPr>
          <w:rFonts w:ascii="Courier New" w:cs="Courier New" w:eastAsia="Courier New" w:hAnsi="Courier New"/>
          <w:sz w:val="18"/>
          <w:szCs w:val="18"/>
          <w:color w:val="auto"/>
        </w:rPr>
        <w:t>and further agree to the filing of this agreement</w:t>
      </w:r>
      <w:r>
        <w:rPr>
          <w:sz w:val="20"/>
          <w:szCs w:val="20"/>
          <w:color w:val="auto"/>
        </w:rPr>
        <w:tab/>
      </w:r>
      <w:r>
        <w:rPr>
          <w:rFonts w:ascii="Courier New" w:cs="Courier New" w:eastAsia="Courier New" w:hAnsi="Courier New"/>
          <w:sz w:val="16"/>
          <w:szCs w:val="16"/>
          <w:color w:val="auto"/>
        </w:rPr>
        <w:t>as an Exhibit thereto.</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2011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By:/s/</w:t>
        <w:tab/>
        <w:t>Jeremy</w:t>
      </w:r>
      <w:r>
        <w:rPr>
          <w:sz w:val="20"/>
          <w:szCs w:val="20"/>
          <w:color w:val="auto"/>
        </w:rPr>
        <w:tab/>
      </w:r>
      <w:r>
        <w:rPr>
          <w:rFonts w:ascii="Courier New" w:cs="Courier New" w:eastAsia="Courier New" w:hAnsi="Courier New"/>
          <w:sz w:val="16"/>
          <w:szCs w:val="16"/>
          <w:color w:val="auto"/>
        </w:rPr>
        <w:t>Kahn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Jeremy</w:t>
      </w:r>
      <w:r>
        <w:rPr>
          <w:sz w:val="20"/>
          <w:szCs w:val="20"/>
          <w:color w:val="auto"/>
        </w:rPr>
        <w:tab/>
      </w:r>
      <w:r>
        <w:rPr>
          <w:rFonts w:ascii="Courier New" w:cs="Courier New" w:eastAsia="Courier New" w:hAnsi="Courier New"/>
          <w:sz w:val="16"/>
          <w:szCs w:val="16"/>
          <w:color w:val="auto"/>
        </w:rPr>
        <w:t>Kahn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By:/s/</w:t>
        <w:tab/>
        <w:t>Jeremy</w:t>
      </w:r>
      <w:r>
        <w:rPr>
          <w:sz w:val="20"/>
          <w:szCs w:val="20"/>
          <w:color w:val="auto"/>
        </w:rPr>
        <w:tab/>
      </w:r>
      <w:r>
        <w:rPr>
          <w:rFonts w:ascii="Courier New" w:cs="Courier New" w:eastAsia="Courier New" w:hAnsi="Courier New"/>
          <w:sz w:val="16"/>
          <w:szCs w:val="16"/>
          <w:color w:val="auto"/>
        </w:rPr>
        <w:t>Kahn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Jeremy</w:t>
      </w:r>
      <w:r>
        <w:rPr>
          <w:sz w:val="20"/>
          <w:szCs w:val="20"/>
          <w:color w:val="auto"/>
        </w:rPr>
        <w:tab/>
      </w:r>
      <w:r>
        <w:rPr>
          <w:rFonts w:ascii="Courier New" w:cs="Courier New" w:eastAsia="Courier New" w:hAnsi="Courier New"/>
          <w:sz w:val="16"/>
          <w:szCs w:val="16"/>
          <w:color w:val="auto"/>
        </w:rPr>
        <w:t>Kahn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219"/>
          </w:cols>
          <w:pgMar w:left="240" w:top="514"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ASSET MANAGEMENT, L.P. (the "Company") does hereby make, constitute and appoint each of Ronald L. Christopher, Dan Deluca, Robert Belva and Jeremy Kahn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signatories,hereby ratifying and confirming all that said attorney-in-fact shall lawfully do or cause to be done by virtue hereof.</w:t>
      </w:r>
    </w:p>
    <w:p>
      <w:pPr>
        <w:spacing w:after="0" w:line="208"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August 12,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line="237" w:lineRule="auto"/>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219"/>
          </w:cols>
          <w:pgMar w:left="240" w:top="514" w:right="1440" w:bottom="1440" w:gutter="0" w:footer="0" w:header="0"/>
        </w:sectPr>
      </w:pPr>
    </w:p>
    <w:bookmarkStart w:id="8" w:name="page9"/>
    <w:bookmarkEnd w:id="8"/>
    <w:p>
      <w:pPr>
        <w:ind w:left="6740"/>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PERSONS BY THESE PRESENTS that GS INVESTMENT STRATEGIES, LLC (the "Company") does hereby make, constitute and appoint each of Ronald L. Christopher, Dan Deluca, Robert Belva and Jeremy Kahn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September 24,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Jonathan M. Lamm</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Jonathan M. Lamm</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1F16E9E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1190CDE7"/>
    <w:multiLevelType w:val="hybridMultilevel"/>
    <w:lvl w:ilvl="0">
      <w:lvlJc w:val="left"/>
      <w:lvlText w:val="-"/>
      <w:numFmt w:val="bullet"/>
      <w:start w:val="1"/>
    </w:lvl>
    <w:lvl w:ilvl="1">
      <w:lvlJc w:val="left"/>
      <w:lvlText w:val="%2."/>
      <w:numFmt w:val="decimal"/>
      <w:start w:val="4"/>
    </w:lvl>
  </w:abstractNum>
  <w:abstractNum w:abstractNumId="8">
    <w:nsid w:val="66EF438D"/>
    <w:multiLevelType w:val="hybridMultilevel"/>
    <w:lvl w:ilvl="0">
      <w:lvlJc w:val="left"/>
      <w:lvlText w:val="-"/>
      <w:numFmt w:val="bullet"/>
      <w:start w:val="1"/>
    </w:lvl>
    <w:lvl w:ilvl="1">
      <w:lvlJc w:val="left"/>
      <w:lvlText w:val="%2."/>
      <w:numFmt w:val="decimal"/>
      <w:start w:val="5"/>
    </w:lvl>
  </w:abstractNum>
  <w:abstractNum w:abstractNumId="9">
    <w:nsid w:val="140E0F76"/>
    <w:multiLevelType w:val="hybridMultilevel"/>
    <w:lvl w:ilvl="0">
      <w:lvlJc w:val="left"/>
      <w:lvlText w:val="-"/>
      <w:numFmt w:val="bullet"/>
      <w:start w:val="1"/>
    </w:lvl>
    <w:lvl w:ilvl="1">
      <w:lvlJc w:val="left"/>
      <w:lvlText w:val="%2."/>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2019-12-10T07:39:06Z</dcterms:created>
  <dcterms:modified xsi:type="dcterms:W3CDTF">2019-12-10T07:39:06Z</dcterms:modified>
</cp:coreProperties>
</file>