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455399.xml.htm"/>
      <w:bookmarkStart w:id="1" w:name="kswkform4_17834553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Malkoski Kristine Kay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NEWELL BRANDS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CONCOURSE PARKWAY NE, 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NEWELL BRANDS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Learning &amp; Dev.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32"/>
        <w:gridCol w:w="456"/>
        <w:gridCol w:w="713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75,216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390,462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33,727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356,735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75,216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75,216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withholding of shares to cover taxes on the vesting was calculated on the Company's closing stock price on July 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Performance Based Restricted Stock Unit ("PRSU") represents a contingent right to receive one share of the Company's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terms of the Reporting Person's PRSUs granted on July 5, 2023 provide for a seventy percent (70%) vesting on July 5, 2025, and a thirty percent (30%) vesting on July 5, 2026, subject to the continuous employment with the Company.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N/A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Bradford R. Turner, Attorney in Fact for Kristine Malkoski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2089" TargetMode="External"/><Relationship Id="rId5" Type="http://schemas.openxmlformats.org/officeDocument/2006/relationships/hyperlink" Target="http://www.sec.gov/cgi-bin/browse-edgar?action=getcompany&amp;CIK=0000814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686</Words>
  <Characters>3647</Characters>
  <CharactersWithSpaces>4252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