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532303.xml.htm"/>
      <w:bookmarkStart w:id="1" w:name="kswkform4_17785323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PILNICK GARY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NEWELL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CONCOURSE PARKWAY NE, 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NEWELL BRANDS INC.</w:t>
              </w:r>
            </w:hyperlink>
            <w:r>
              <w:rPr/>
              <w:t xml:space="preserve"> [ </w:t>
            </w:r>
            <w:r>
              <w:rPr>
                <w:rFonts w:ascii="Times;serif" w:hAnsi="Times;serif"/>
                <w:color w:val="0000FF"/>
                <w:sz w:val="24"/>
                <w:shd w:fill="FFFFFF" w:val="clear"/>
              </w:rPr>
              <w:t>NWL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30,418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30,418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30,418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39,325</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Newell Brands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award shall vest in full upon the earlier of: (i) the first anniversary of the date of the grant of the award or (ii) the next annual meeting of the Company's stockholders, which is at least 50 weeks after the immediately preceding year's annual meeting of the Company's stockholders; provided the Reporting Person remains in continuous service on the Board until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Bradford R. Turner, Attorney in Fact for Gary Pilnick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1320" TargetMode="External"/><Relationship Id="rId5" Type="http://schemas.openxmlformats.org/officeDocument/2006/relationships/hyperlink" Target="http://www.sec.gov/cgi-bin/browse-edgar?action=getcompany&amp;CIK=00008144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3646</Characters>
  <CharactersWithSpaces>4251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