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45.jpeg" ContentType="image/jpeg"/>
  <Override PartName="/word/media/image40.jpeg" ContentType="image/jpeg"/>
  <Override PartName="/word/media/image13.jpeg" ContentType="image/jpeg"/>
  <Override PartName="/word/media/image46.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2719ddef14a.htm"/>
        <w:bookmarkStart w:id="1" w:name="ksd52719ddef14a"/>
        <w:bookmarkEnd w:id="0"/>
        <w:bookmarkEnd w:id="1"/>
        <w:r>
          <w:rPr>
            <w:rStyle w:val="InternetLink"/>
            <w:b/>
            <w:sz w:val="20"/>
          </w:rPr>
          <w:t>Table of Contents</w:t>
        </w:r>
      </w:hyperlink>
    </w:p>
    <w:p>
      <w:pPr>
        <w:pStyle w:val="TextBody"/>
        <w:bidi w:val="0"/>
        <w:spacing w:before="0" w:after="0"/>
        <w:jc w:val="center"/>
        <w:rPr>
          <w:rFonts w:ascii="ARIAL" w:hAnsi="ARIAL"/>
          <w:b/>
          <w:sz w:val="22"/>
        </w:rPr>
      </w:pPr>
      <w:r>
        <w:rPr>
          <w:rFonts w:ascii="ARIAL" w:hAnsi="ARIAL"/>
          <w:b/>
          <w:sz w:val="22"/>
        </w:rPr>
        <w:t xml:space="preserve">UNITED STATES </w:t>
      </w:r>
    </w:p>
    <w:p>
      <w:pPr>
        <w:pStyle w:val="TextBody"/>
        <w:bidi w:val="0"/>
        <w:spacing w:before="0" w:after="0"/>
        <w:jc w:val="center"/>
        <w:rPr>
          <w:rFonts w:ascii="ARIAL" w:hAnsi="ARIAL"/>
          <w:b/>
          <w:sz w:val="22"/>
        </w:rPr>
      </w:pPr>
      <w:r>
        <w:rPr>
          <w:rFonts w:ascii="ARIAL" w:hAnsi="ARIAL"/>
          <w:b/>
          <w:sz w:val="22"/>
        </w:rPr>
        <w:t xml:space="preserve">SECURITIES AND EXCHANGE COMMISSION </w:t>
      </w:r>
    </w:p>
    <w:p>
      <w:pPr>
        <w:pStyle w:val="TextBody"/>
        <w:bidi w:val="0"/>
        <w:spacing w:before="0" w:after="0"/>
        <w:jc w:val="center"/>
        <w:rPr>
          <w:rFonts w:ascii="ARIAL" w:hAnsi="ARIAL"/>
          <w:b/>
          <w:sz w:val="22"/>
        </w:rPr>
      </w:pPr>
      <w:r>
        <w:rPr>
          <w:rFonts w:ascii="ARIAL" w:hAnsi="ARIAL"/>
          <w:b/>
          <w:sz w:val="22"/>
        </w:rPr>
        <w:t xml:space="preserve">WASHINGTON, D.C. 20549 </w:t>
      </w:r>
    </w:p>
    <w:p>
      <w:pPr>
        <w:pStyle w:val="TextBody"/>
        <w:bidi w:val="0"/>
        <w:spacing w:before="240" w:after="0"/>
        <w:jc w:val="center"/>
        <w:rPr>
          <w:rFonts w:ascii="ARIAL" w:hAnsi="ARIAL"/>
          <w:b/>
          <w:sz w:val="32"/>
        </w:rPr>
      </w:pPr>
      <w:r>
        <w:rPr>
          <w:rFonts w:ascii="ARIAL" w:hAnsi="ARIAL"/>
          <w:b/>
          <w:sz w:val="32"/>
        </w:rPr>
        <w:t>SCHEDULE 14A</w:t>
      </w:r>
    </w:p>
    <w:p>
      <w:pPr>
        <w:pStyle w:val="TextBody"/>
        <w:bidi w:val="0"/>
        <w:spacing w:before="240" w:after="0"/>
        <w:jc w:val="center"/>
        <w:rPr>
          <w:rFonts w:ascii="ARIAL" w:hAnsi="ARIAL"/>
          <w:b/>
          <w:sz w:val="22"/>
        </w:rPr>
      </w:pPr>
      <w:r>
        <w:rPr>
          <w:rFonts w:ascii="ARIAL" w:hAnsi="ARIAL"/>
          <w:b/>
          <w:sz w:val="22"/>
        </w:rPr>
        <w:t xml:space="preserve">Proxy Statement Pursuant to Section 14(a) of the </w:t>
      </w:r>
    </w:p>
    <w:p>
      <w:pPr>
        <w:pStyle w:val="TextBody"/>
        <w:bidi w:val="0"/>
        <w:spacing w:before="0" w:after="0"/>
        <w:jc w:val="center"/>
        <w:rPr>
          <w:rFonts w:ascii="ARIAL" w:hAnsi="ARIAL"/>
          <w:b/>
          <w:sz w:val="22"/>
        </w:rPr>
      </w:pPr>
      <w:r>
        <w:rPr>
          <w:rFonts w:ascii="ARIAL" w:hAnsi="ARIAL"/>
          <w:b/>
          <w:sz w:val="22"/>
        </w:rPr>
        <w:t xml:space="preserve">Securities Exchange Act of 1934 (Amendment No.  ) </w:t>
      </w:r>
    </w:p>
    <w:p>
      <w:pPr>
        <w:pStyle w:val="TextBody"/>
        <w:bidi w:val="0"/>
        <w:spacing w:before="240" w:after="0"/>
        <w:jc w:val="both"/>
        <w:rPr>
          <w:rFonts w:ascii="ARIAL" w:hAnsi="ARIAL"/>
          <w:sz w:val="22"/>
        </w:rPr>
      </w:pPr>
      <w:r>
        <w:rPr>
          <w:rFonts w:ascii="ARIAL" w:hAnsi="ARIAL"/>
          <w:sz w:val="22"/>
        </w:rPr>
        <w:t xml:space="preserve">Filed by the Registrant </w:t>
      </w:r>
    </w:p>
    <w:p>
      <w:pPr>
        <w:pStyle w:val="TextBody"/>
        <w:bidi w:val="0"/>
        <w:spacing w:before="240" w:after="0"/>
        <w:jc w:val="both"/>
        <w:rPr/>
      </w:pPr>
      <w:r>
        <w:rPr/>
        <w:t>☒</w:t>
      </w:r>
    </w:p>
    <w:p>
      <w:pPr>
        <w:pStyle w:val="TextBody"/>
        <w:bidi w:val="0"/>
        <w:spacing w:before="240" w:after="0"/>
        <w:jc w:val="both"/>
        <w:rPr/>
      </w:pPr>
      <w:r>
        <w:rPr/>
        <w:t>  </w:t>
      </w:r>
      <w:r>
        <w:rPr>
          <w:rFonts w:ascii="ARIAL" w:hAnsi="ARIAL"/>
          <w:sz w:val="22"/>
        </w:rPr>
        <w:t xml:space="preserve">Filed by a party other than the Registrant </w:t>
      </w:r>
    </w:p>
    <w:p>
      <w:pPr>
        <w:pStyle w:val="TextBody"/>
        <w:bidi w:val="0"/>
        <w:spacing w:before="240" w:after="0"/>
        <w:jc w:val="both"/>
        <w:rPr/>
      </w:pPr>
      <w:r>
        <w:rPr/>
        <w:t>☐</w:t>
      </w:r>
    </w:p>
    <w:p>
      <w:pPr>
        <w:pStyle w:val="TextBody"/>
        <w:bidi w:val="0"/>
        <w:spacing w:before="240" w:after="0"/>
        <w:jc w:val="both"/>
        <w:rPr>
          <w:rFonts w:ascii="ARIAL" w:hAnsi="ARIAL"/>
          <w:sz w:val="22"/>
        </w:rPr>
      </w:pPr>
      <w:r>
        <w:rPr>
          <w:rFonts w:ascii="ARIAL" w:hAnsi="ARIAL"/>
          <w:sz w:val="22"/>
        </w:rPr>
        <w:t xml:space="preserve">Check the appropriate box: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0"/>
              <w:jc w:val="left"/>
              <w:rPr/>
            </w:pPr>
            <w:r>
              <w:rPr/>
              <w:t>☐</w:t>
            </w:r>
          </w:p>
        </w:tc>
        <w:tc>
          <w:tcPr>
            <w:tcW w:w="2600" w:type="dxa"/>
            <w:tcBorders/>
            <w:vAlign w:val="center"/>
          </w:tcPr>
          <w:p>
            <w:pPr>
              <w:pStyle w:val="TableContents"/>
              <w:bidi w:val="0"/>
              <w:spacing w:before="0" w:after="0"/>
              <w:jc w:val="both"/>
              <w:rPr>
                <w:rFonts w:ascii="ARIAL" w:hAnsi="ARIAL"/>
                <w:sz w:val="20"/>
              </w:rPr>
            </w:pPr>
            <w:r>
              <w:rPr>
                <w:rFonts w:ascii="ARIAL" w:hAnsi="ARIAL"/>
                <w:sz w:val="20"/>
              </w:rPr>
              <w:t xml:space="preserve">Preliminary Proxy Statement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245"/>
        <w:gridCol w:w="5945"/>
      </w:tblGrid>
      <w:tr>
        <w:trPr/>
        <w:tc>
          <w:tcPr>
            <w:tcW w:w="245" w:type="dxa"/>
            <w:tcBorders/>
            <w:vAlign w:val="center"/>
          </w:tcPr>
          <w:p>
            <w:pPr>
              <w:pStyle w:val="TableContents"/>
              <w:bidi w:val="0"/>
              <w:spacing w:before="0" w:after="0"/>
              <w:jc w:val="left"/>
              <w:rPr/>
            </w:pPr>
            <w:r>
              <w:rPr/>
              <w:t>☐</w:t>
            </w:r>
          </w:p>
        </w:tc>
        <w:tc>
          <w:tcPr>
            <w:tcW w:w="5945" w:type="dxa"/>
            <w:tcBorders/>
            <w:vAlign w:val="center"/>
          </w:tcPr>
          <w:p>
            <w:pPr>
              <w:pStyle w:val="TableContents"/>
              <w:bidi w:val="0"/>
              <w:spacing w:before="0" w:after="0"/>
              <w:jc w:val="both"/>
              <w:rPr>
                <w:rFonts w:ascii="ARIAL" w:hAnsi="ARIAL"/>
                <w:sz w:val="20"/>
              </w:rPr>
            </w:pPr>
            <w:r>
              <w:rPr>
                <w:rFonts w:ascii="ARIAL" w:hAnsi="ARIAL"/>
                <w:sz w:val="20"/>
              </w:rPr>
              <w:t xml:space="preserve">Confidential, for Use of the Commission Only (as permitted by Rule </w:t>
            </w:r>
          </w:p>
          <w:p>
            <w:pPr>
              <w:pStyle w:val="TableContents"/>
              <w:bidi w:val="0"/>
              <w:spacing w:before="0" w:after="0"/>
              <w:jc w:val="both"/>
              <w:rPr>
                <w:rFonts w:ascii="ARIAL" w:hAnsi="ARIAL"/>
                <w:sz w:val="20"/>
              </w:rPr>
            </w:pPr>
            <w:r>
              <w:rPr>
                <w:rFonts w:ascii="ARIAL" w:hAnsi="ARIAL"/>
                <w:sz w:val="20"/>
              </w:rPr>
              <w:t>14a-6(e)(2))</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245"/>
        <w:gridCol w:w="2435"/>
      </w:tblGrid>
      <w:tr>
        <w:trPr/>
        <w:tc>
          <w:tcPr>
            <w:tcW w:w="245" w:type="dxa"/>
            <w:tcBorders/>
            <w:vAlign w:val="center"/>
          </w:tcPr>
          <w:p>
            <w:pPr>
              <w:pStyle w:val="TableContents"/>
              <w:bidi w:val="0"/>
              <w:spacing w:before="0" w:after="0"/>
              <w:jc w:val="left"/>
              <w:rPr/>
            </w:pPr>
            <w:r>
              <w:rPr/>
              <w:t>☒</w:t>
            </w:r>
          </w:p>
        </w:tc>
        <w:tc>
          <w:tcPr>
            <w:tcW w:w="2435" w:type="dxa"/>
            <w:tcBorders/>
            <w:vAlign w:val="center"/>
          </w:tcPr>
          <w:p>
            <w:pPr>
              <w:pStyle w:val="TableContents"/>
              <w:bidi w:val="0"/>
              <w:spacing w:before="0" w:after="0"/>
              <w:jc w:val="both"/>
              <w:rPr>
                <w:rFonts w:ascii="ARIAL" w:hAnsi="ARIAL"/>
                <w:sz w:val="20"/>
              </w:rPr>
            </w:pPr>
            <w:r>
              <w:rPr>
                <w:rFonts w:ascii="ARIAL" w:hAnsi="ARIAL"/>
                <w:sz w:val="20"/>
              </w:rPr>
              <w:t xml:space="preserve">Definitive Proxy Statement </w:t>
            </w:r>
          </w:p>
        </w:tc>
      </w:tr>
    </w:tbl>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245"/>
        <w:gridCol w:w="2675"/>
      </w:tblGrid>
      <w:tr>
        <w:trPr/>
        <w:tc>
          <w:tcPr>
            <w:tcW w:w="245" w:type="dxa"/>
            <w:tcBorders/>
            <w:vAlign w:val="center"/>
          </w:tcPr>
          <w:p>
            <w:pPr>
              <w:pStyle w:val="TableContents"/>
              <w:bidi w:val="0"/>
              <w:spacing w:before="0" w:after="0"/>
              <w:jc w:val="left"/>
              <w:rPr/>
            </w:pPr>
            <w:r>
              <w:rPr/>
              <w:t>☐</w:t>
            </w:r>
          </w:p>
        </w:tc>
        <w:tc>
          <w:tcPr>
            <w:tcW w:w="2675" w:type="dxa"/>
            <w:tcBorders/>
            <w:vAlign w:val="center"/>
          </w:tcPr>
          <w:p>
            <w:pPr>
              <w:pStyle w:val="TableContents"/>
              <w:bidi w:val="0"/>
              <w:spacing w:before="0" w:after="0"/>
              <w:jc w:val="both"/>
              <w:rPr>
                <w:rFonts w:ascii="ARIAL" w:hAnsi="ARIAL"/>
                <w:sz w:val="20"/>
              </w:rPr>
            </w:pPr>
            <w:r>
              <w:rPr>
                <w:rFonts w:ascii="ARIAL" w:hAnsi="ARIAL"/>
                <w:sz w:val="20"/>
              </w:rPr>
              <w:t xml:space="preserve">Definitive Additional Materials </w:t>
            </w:r>
          </w:p>
        </w:tc>
      </w:tr>
    </w:tbl>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245"/>
        <w:gridCol w:w="2345"/>
      </w:tblGrid>
      <w:tr>
        <w:trPr/>
        <w:tc>
          <w:tcPr>
            <w:tcW w:w="245" w:type="dxa"/>
            <w:tcBorders/>
            <w:vAlign w:val="center"/>
          </w:tcPr>
          <w:p>
            <w:pPr>
              <w:pStyle w:val="TableContents"/>
              <w:bidi w:val="0"/>
              <w:spacing w:before="0" w:after="0"/>
              <w:jc w:val="left"/>
              <w:rPr/>
            </w:pPr>
            <w:r>
              <w:rPr/>
              <w:t>☐</w:t>
            </w:r>
          </w:p>
        </w:tc>
        <w:tc>
          <w:tcPr>
            <w:tcW w:w="2345" w:type="dxa"/>
            <w:tcBorders/>
            <w:vAlign w:val="center"/>
          </w:tcPr>
          <w:p>
            <w:pPr>
              <w:pStyle w:val="TableContents"/>
              <w:bidi w:val="0"/>
              <w:spacing w:before="0" w:after="0"/>
              <w:jc w:val="both"/>
              <w:rPr>
                <w:rFonts w:ascii="ARIAL" w:hAnsi="ARIAL"/>
                <w:sz w:val="20"/>
              </w:rPr>
            </w:pPr>
            <w:r>
              <w:rPr>
                <w:rFonts w:ascii="ARIAL" w:hAnsi="ARIAL"/>
                <w:sz w:val="20"/>
              </w:rPr>
              <w:t xml:space="preserve">Soliciting Material under § </w:t>
            </w:r>
          </w:p>
          <w:p>
            <w:pPr>
              <w:pStyle w:val="TableContents"/>
              <w:bidi w:val="0"/>
              <w:spacing w:before="0" w:after="0"/>
              <w:jc w:val="both"/>
              <w:rPr>
                <w:rFonts w:ascii="ARIAL" w:hAnsi="ARIAL"/>
                <w:sz w:val="20"/>
              </w:rPr>
            </w:pPr>
            <w:r>
              <w:rPr>
                <w:rFonts w:ascii="ARIAL" w:hAnsi="ARIAL"/>
                <w:sz w:val="20"/>
              </w:rPr>
              <w:t>240.14a-12</w:t>
            </w:r>
          </w:p>
        </w:tc>
      </w:tr>
    </w:tbl>
    <w:p>
      <w:pPr>
        <w:pStyle w:val="TextBody"/>
        <w:bidi w:val="0"/>
        <w:spacing w:before="0" w:after="0"/>
        <w:jc w:val="left"/>
        <w:rPr/>
      </w:pPr>
      <w:r>
        <w:rPr/>
        <w:t> </w:t>
      </w:r>
    </w:p>
    <w:tbl>
      <w:tblPr>
        <w:tblW w:w="7490" w:type="dxa"/>
        <w:jc w:val="left"/>
        <w:tblInd w:w="0" w:type="dxa"/>
        <w:tblLayout w:type="fixed"/>
        <w:tblCellMar>
          <w:top w:w="0" w:type="dxa"/>
          <w:left w:w="0" w:type="dxa"/>
          <w:bottom w:w="0" w:type="dxa"/>
          <w:right w:w="0" w:type="dxa"/>
        </w:tblCellMar>
      </w:tblPr>
      <w:tblGrid>
        <w:gridCol w:w="7490"/>
      </w:tblGrid>
      <w:tr>
        <w:trPr/>
        <w:tc>
          <w:tcPr>
            <w:tcW w:w="7490" w:type="dxa"/>
            <w:tcBorders/>
            <w:vAlign w:val="center"/>
          </w:tcPr>
          <w:p>
            <w:pPr>
              <w:pStyle w:val="TableContents"/>
              <w:bidi w:val="0"/>
              <w:spacing w:before="0" w:after="283"/>
              <w:jc w:val="left"/>
              <w:rPr>
                <w:sz w:val="4"/>
                <w:szCs w:val="4"/>
              </w:rPr>
            </w:pPr>
            <w:r>
              <w:rPr>
                <w:sz w:val="4"/>
                <w:szCs w:val="4"/>
              </w:rPr>
            </w:r>
          </w:p>
        </w:tc>
      </w:tr>
      <w:tr>
        <w:trPr/>
        <w:tc>
          <w:tcPr>
            <w:tcW w:w="7490" w:type="dxa"/>
            <w:tcBorders>
              <w:bottom w:val="single" w:sz="6" w:space="0" w:color="000000"/>
            </w:tcBorders>
            <w:tcMar>
              <w:bottom w:w="60" w:type="dxa"/>
            </w:tcMar>
            <w:vAlign w:val="center"/>
          </w:tcPr>
          <w:p>
            <w:pPr>
              <w:pStyle w:val="TableContents"/>
              <w:bidi w:val="0"/>
              <w:spacing w:before="0" w:after="0"/>
              <w:jc w:val="center"/>
              <w:rPr>
                <w:b/>
              </w:rPr>
            </w:pPr>
            <w:r>
              <w:rPr>
                <w:b/>
              </w:rPr>
              <w:t>NEWELL BRANDS INC.</w:t>
            </w:r>
          </w:p>
        </w:tc>
      </w:tr>
      <w:tr>
        <w:trPr/>
        <w:tc>
          <w:tcPr>
            <w:tcW w:w="7490" w:type="dxa"/>
            <w:tcBorders/>
            <w:vAlign w:val="center"/>
          </w:tcPr>
          <w:p>
            <w:pPr>
              <w:pStyle w:val="TableContents"/>
              <w:bidi w:val="0"/>
              <w:spacing w:before="0" w:after="283"/>
              <w:jc w:val="left"/>
              <w:rPr>
                <w:sz w:val="4"/>
                <w:szCs w:val="4"/>
              </w:rPr>
            </w:pPr>
            <w:r>
              <w:rPr>
                <w:sz w:val="4"/>
                <w:szCs w:val="4"/>
              </w:rPr>
            </w:r>
          </w:p>
        </w:tc>
      </w:tr>
      <w:tr>
        <w:trPr/>
        <w:tc>
          <w:tcPr>
            <w:tcW w:w="7490" w:type="dxa"/>
            <w:tcBorders>
              <w:bottom w:val="single" w:sz="6" w:space="0" w:color="000000"/>
            </w:tcBorders>
            <w:tcMar>
              <w:bottom w:w="80" w:type="dxa"/>
            </w:tcMar>
            <w:vAlign w:val="center"/>
          </w:tcPr>
          <w:p>
            <w:pPr>
              <w:pStyle w:val="TableContents"/>
              <w:bidi w:val="0"/>
              <w:spacing w:before="0" w:after="0"/>
              <w:jc w:val="center"/>
              <w:rPr>
                <w:b/>
              </w:rPr>
            </w:pPr>
            <w:r>
              <w:rPr>
                <w:b/>
              </w:rPr>
              <w:t>(Name of Registrant as Specified in its Charter)</w:t>
            </w:r>
          </w:p>
        </w:tc>
      </w:tr>
      <w:tr>
        <w:trPr/>
        <w:tc>
          <w:tcPr>
            <w:tcW w:w="7490"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0"/>
              <w:jc w:val="center"/>
              <w:rPr>
                <w:b/>
              </w:rPr>
            </w:pPr>
            <w:r>
              <w:rPr>
                <w:b/>
              </w:rPr>
              <w:t>(Name of Person(s) Filing Proxy Statement, if Other Than the Registrant)</w:t>
            </w:r>
          </w:p>
        </w:tc>
      </w:tr>
    </w:tbl>
    <w:p>
      <w:pPr>
        <w:pStyle w:val="TextBody"/>
        <w:bidi w:val="0"/>
        <w:spacing w:before="240" w:after="0"/>
        <w:jc w:val="both"/>
        <w:rPr>
          <w:rFonts w:ascii="ARIAL" w:hAnsi="ARIAL"/>
          <w:sz w:val="22"/>
        </w:rPr>
      </w:pPr>
      <w:r>
        <w:rPr>
          <w:rFonts w:ascii="ARIAL" w:hAnsi="ARIAL"/>
          <w:sz w:val="22"/>
        </w:rPr>
        <w:t xml:space="preserve">Payment of Filing Fee (Check all boxes that apply): </w:t>
      </w:r>
    </w:p>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245"/>
        <w:gridCol w:w="1415"/>
      </w:tblGrid>
      <w:tr>
        <w:trPr/>
        <w:tc>
          <w:tcPr>
            <w:tcW w:w="245" w:type="dxa"/>
            <w:tcBorders/>
            <w:vAlign w:val="center"/>
          </w:tcPr>
          <w:p>
            <w:pPr>
              <w:pStyle w:val="TableContents"/>
              <w:bidi w:val="0"/>
              <w:spacing w:before="0" w:after="0"/>
              <w:jc w:val="left"/>
              <w:rPr/>
            </w:pPr>
            <w:r>
              <w:rPr/>
              <w:t>☒</w:t>
            </w:r>
          </w:p>
        </w:tc>
        <w:tc>
          <w:tcPr>
            <w:tcW w:w="1415" w:type="dxa"/>
            <w:tcBorders/>
            <w:vAlign w:val="center"/>
          </w:tcPr>
          <w:p>
            <w:pPr>
              <w:pStyle w:val="TableContents"/>
              <w:bidi w:val="0"/>
              <w:spacing w:before="0" w:after="0"/>
              <w:jc w:val="both"/>
              <w:rPr>
                <w:rFonts w:ascii="ARIAL" w:hAnsi="ARIAL"/>
                <w:sz w:val="20"/>
              </w:rPr>
            </w:pPr>
            <w:r>
              <w:rPr>
                <w:rFonts w:ascii="ARIAL" w:hAnsi="ARIAL"/>
                <w:sz w:val="20"/>
              </w:rPr>
              <w:t xml:space="preserve">No fee required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245"/>
        <w:gridCol w:w="4055"/>
      </w:tblGrid>
      <w:tr>
        <w:trPr/>
        <w:tc>
          <w:tcPr>
            <w:tcW w:w="245" w:type="dxa"/>
            <w:tcBorders/>
            <w:vAlign w:val="center"/>
          </w:tcPr>
          <w:p>
            <w:pPr>
              <w:pStyle w:val="TableContents"/>
              <w:bidi w:val="0"/>
              <w:spacing w:before="0" w:after="0"/>
              <w:jc w:val="left"/>
              <w:rPr/>
            </w:pPr>
            <w:r>
              <w:rPr/>
              <w:t>☐</w:t>
            </w:r>
          </w:p>
        </w:tc>
        <w:tc>
          <w:tcPr>
            <w:tcW w:w="4055" w:type="dxa"/>
            <w:tcBorders/>
            <w:vAlign w:val="center"/>
          </w:tcPr>
          <w:p>
            <w:pPr>
              <w:pStyle w:val="TableContents"/>
              <w:bidi w:val="0"/>
              <w:spacing w:before="0" w:after="0"/>
              <w:jc w:val="both"/>
              <w:rPr>
                <w:rFonts w:ascii="ARIAL" w:hAnsi="ARIAL"/>
                <w:sz w:val="20"/>
              </w:rPr>
            </w:pPr>
            <w:r>
              <w:rPr>
                <w:rFonts w:ascii="ARIAL" w:hAnsi="ARIAL"/>
                <w:sz w:val="20"/>
              </w:rPr>
              <w:t xml:space="preserve">Fee paid previously with preliminary materials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245"/>
        <w:gridCol w:w="7070"/>
      </w:tblGrid>
      <w:tr>
        <w:trPr/>
        <w:tc>
          <w:tcPr>
            <w:tcW w:w="245" w:type="dxa"/>
            <w:tcBorders/>
            <w:vAlign w:val="center"/>
          </w:tcPr>
          <w:p>
            <w:pPr>
              <w:pStyle w:val="TableContents"/>
              <w:bidi w:val="0"/>
              <w:spacing w:before="0" w:after="0"/>
              <w:jc w:val="left"/>
              <w:rPr/>
            </w:pPr>
            <w:r>
              <w:rPr/>
              <w:t>☐</w:t>
            </w:r>
          </w:p>
        </w:tc>
        <w:tc>
          <w:tcPr>
            <w:tcW w:w="7070" w:type="dxa"/>
            <w:tcBorders/>
            <w:vAlign w:val="center"/>
          </w:tcPr>
          <w:p>
            <w:pPr>
              <w:pStyle w:val="TableContents"/>
              <w:bidi w:val="0"/>
              <w:spacing w:before="0" w:after="0"/>
              <w:jc w:val="both"/>
              <w:rPr>
                <w:rFonts w:ascii="ARIAL" w:hAnsi="ARIAL"/>
                <w:sz w:val="20"/>
              </w:rPr>
            </w:pPr>
            <w:r>
              <w:rPr>
                <w:rFonts w:ascii="ARIAL" w:hAnsi="ARIAL"/>
                <w:sz w:val="20"/>
              </w:rPr>
              <w:t xml:space="preserve">Fee computed on table in exhibit required by Item 25(b) per Exchange Act Rules </w:t>
            </w:r>
          </w:p>
          <w:p>
            <w:pPr>
              <w:pStyle w:val="TableContents"/>
              <w:bidi w:val="0"/>
              <w:spacing w:before="0" w:after="0"/>
              <w:jc w:val="both"/>
              <w:rPr>
                <w:rFonts w:ascii="ARIAL" w:hAnsi="ARIAL"/>
                <w:sz w:val="20"/>
              </w:rPr>
            </w:pPr>
            <w:r>
              <w:rPr>
                <w:rFonts w:ascii="ARIAL" w:hAnsi="ARIAL"/>
                <w:sz w:val="20"/>
              </w:rPr>
              <w:t>14a-6(i)(1)</w:t>
            </w:r>
          </w:p>
          <w:p>
            <w:pPr>
              <w:pStyle w:val="TableContents"/>
              <w:bidi w:val="0"/>
              <w:spacing w:before="0" w:after="0"/>
              <w:jc w:val="both"/>
              <w:rPr>
                <w:rFonts w:ascii="ARIAL" w:hAnsi="ARIAL"/>
                <w:sz w:val="20"/>
              </w:rPr>
            </w:pPr>
            <w:r>
              <w:rPr>
                <w:rFonts w:ascii="ARIAL" w:hAnsi="ARIAL"/>
                <w:sz w:val="20"/>
              </w:rPr>
              <w:t xml:space="preserve">and </w:t>
            </w:r>
          </w:p>
          <w:p>
            <w:pPr>
              <w:pStyle w:val="TableContents"/>
              <w:bidi w:val="0"/>
              <w:spacing w:before="0" w:after="0"/>
              <w:jc w:val="both"/>
              <w:rPr>
                <w:rFonts w:ascii="ARIAL" w:hAnsi="ARIAL"/>
                <w:sz w:val="20"/>
              </w:rPr>
            </w:pPr>
            <w:r>
              <w:rPr>
                <w:rFonts w:ascii="ARIAL" w:hAnsi="ARIAL"/>
                <w:sz w:val="20"/>
              </w:rPr>
              <w:t>0-11</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drawing>
          <wp:inline distT="0" distB="0" distL="0" distR="0">
            <wp:extent cx="1866900" cy="860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860425"/>
                    </a:xfrm>
                    <a:prstGeom prst="rect">
                      <a:avLst/>
                    </a:prstGeom>
                  </pic:spPr>
                </pic:pic>
              </a:graphicData>
            </a:graphic>
          </wp:inline>
        </w:drawing>
      </w:r>
      <w:r>
        <w:rPr/>
        <w:t xml:space="preserve"> </w:t>
      </w:r>
    </w:p>
    <w:p>
      <w:pPr>
        <w:pStyle w:val="TextBody"/>
        <w:bidi w:val="0"/>
        <w:spacing w:before="720" w:after="0"/>
        <w:jc w:val="center"/>
        <w:rPr>
          <w:rFonts w:ascii="ARIAL" w:hAnsi="ARIAL"/>
          <w:b/>
          <w:sz w:val="22"/>
        </w:rPr>
      </w:pPr>
      <w:r>
        <w:rPr>
          <w:rFonts w:ascii="ARIAL" w:hAnsi="ARIAL"/>
          <w:b/>
          <w:sz w:val="22"/>
        </w:rPr>
        <w:t xml:space="preserve">NOTICE OF ANNUAL MEETING OF STOCKHOLDERS </w:t>
      </w:r>
    </w:p>
    <w:p>
      <w:pPr>
        <w:pStyle w:val="TextBody"/>
        <w:bidi w:val="0"/>
        <w:spacing w:before="240" w:after="0"/>
        <w:jc w:val="center"/>
        <w:rPr>
          <w:rFonts w:ascii="ARIAL" w:hAnsi="ARIAL"/>
          <w:b/>
          <w:sz w:val="22"/>
        </w:rPr>
      </w:pPr>
      <w:r>
        <w:rPr>
          <w:rFonts w:ascii="ARIAL" w:hAnsi="ARIAL"/>
          <w:b/>
          <w:sz w:val="22"/>
        </w:rPr>
        <w:t xml:space="preserve">To Be Held On May 7, 2026 </w:t>
      </w:r>
    </w:p>
    <w:p>
      <w:pPr>
        <w:pStyle w:val="TextBody"/>
        <w:bidi w:val="0"/>
        <w:spacing w:before="720" w:after="0"/>
        <w:jc w:val="left"/>
        <w:rPr>
          <w:rFonts w:ascii="ARIAL" w:hAnsi="ARIAL"/>
          <w:b/>
          <w:sz w:val="22"/>
        </w:rPr>
      </w:pPr>
      <w:r>
        <w:rPr>
          <w:rFonts w:ascii="ARIAL" w:hAnsi="ARIAL"/>
          <w:b/>
          <w:sz w:val="22"/>
        </w:rPr>
        <w:t xml:space="preserve">To the Stockholders of Newell Brands Inc.: </w:t>
      </w:r>
    </w:p>
    <w:p>
      <w:pPr>
        <w:pStyle w:val="TextBody"/>
        <w:bidi w:val="0"/>
        <w:spacing w:before="240" w:after="0"/>
        <w:jc w:val="both"/>
        <w:rPr>
          <w:rFonts w:ascii="ARIAL" w:hAnsi="ARIAL"/>
          <w:sz w:val="22"/>
        </w:rPr>
      </w:pPr>
      <w:r>
        <w:rPr>
          <w:rFonts w:ascii="ARIAL" w:hAnsi="ARIAL"/>
          <w:sz w:val="22"/>
        </w:rPr>
        <w:t>You are cordially invited to attend the annual meeting of stockholders of Newell Brands Inc. (the “</w:t>
      </w:r>
      <w:r>
        <w:rPr>
          <w:rFonts w:ascii="ARIAL" w:hAnsi="ARIAL"/>
          <w:b/>
          <w:sz w:val="22"/>
        </w:rPr>
        <w:t>Company</w:t>
      </w:r>
      <w:r>
        <w:rPr>
          <w:rFonts w:ascii="ARIAL" w:hAnsi="ARIAL"/>
          <w:sz w:val="22"/>
        </w:rPr>
        <w:t>”) to be held in an in-person meeting format at 9:00 a.m., Eastern Time, on May 7, 2026 (the “</w:t>
      </w:r>
      <w:r>
        <w:rPr>
          <w:rFonts w:ascii="ARIAL" w:hAnsi="ARIAL"/>
          <w:b/>
          <w:sz w:val="22"/>
        </w:rPr>
        <w:t>Annual Meeting</w:t>
      </w:r>
      <w:r>
        <w:rPr>
          <w:rFonts w:ascii="ARIAL" w:hAnsi="ARIAL"/>
          <w:sz w:val="22"/>
        </w:rPr>
        <w:t xml:space="preserve">”) at The Westin Atlanta Perimeter North, 7 Concourse Parkway, NE, Atlanta, Georgia 30328. </w:t>
      </w:r>
    </w:p>
    <w:p>
      <w:pPr>
        <w:pStyle w:val="TextBody"/>
        <w:bidi w:val="0"/>
        <w:spacing w:before="240" w:after="0"/>
        <w:jc w:val="both"/>
        <w:rPr>
          <w:rFonts w:ascii="ARIAL" w:hAnsi="ARIAL"/>
          <w:sz w:val="22"/>
        </w:rPr>
      </w:pPr>
      <w:r>
        <w:rPr>
          <w:rFonts w:ascii="ARIAL" w:hAnsi="ARIAL"/>
          <w:sz w:val="22"/>
        </w:rPr>
        <w:t xml:space="preserve">At the Annual Meeting, you will be asked to: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70"/>
        <w:gridCol w:w="60"/>
        <w:gridCol w:w="7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both"/>
              <w:rPr>
                <w:rFonts w:ascii="ARIAL" w:hAnsi="ARIAL"/>
                <w:sz w:val="22"/>
              </w:rPr>
            </w:pPr>
            <w:r>
              <w:rPr>
                <w:rFonts w:ascii="ARIAL" w:hAnsi="ARIAL"/>
                <w:sz w:val="22"/>
              </w:rPr>
              <w:t xml:space="preserve">Elect eight directors of the Company nominated by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Vote to approve the appointment of PricewaterhouseCoopers LLP as the Company’s independent registered public accounting firm for the fiscal year ending December 31, 2026;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70"/>
        <w:gridCol w:w="60"/>
        <w:gridCol w:w="8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both"/>
              <w:rPr>
                <w:rFonts w:ascii="ARIAL" w:hAnsi="ARIAL"/>
                <w:sz w:val="22"/>
              </w:rPr>
            </w:pPr>
            <w:r>
              <w:rPr>
                <w:rFonts w:ascii="ARIAL" w:hAnsi="ARIAL"/>
                <w:sz w:val="22"/>
              </w:rPr>
              <w:t xml:space="preserve">Vote to approve an advisory resolution on named executive officer compensation;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70"/>
        <w:gridCol w:w="6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both"/>
              <w:rPr>
                <w:rFonts w:ascii="ARIAL" w:hAnsi="ARIAL"/>
                <w:sz w:val="22"/>
              </w:rPr>
            </w:pPr>
            <w:r>
              <w:rPr>
                <w:rFonts w:ascii="ARIAL" w:hAnsi="ARIAL"/>
                <w:sz w:val="22"/>
              </w:rPr>
              <w:t xml:space="preserve">Vote to approve the Newell Brands Inc. 2026 Incentive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Transact such other business as may properly come before the Annual Meeting and any adjournment or postponement of the Annual Meeting. </w:t>
            </w:r>
          </w:p>
        </w:tc>
      </w:tr>
    </w:tbl>
    <w:p>
      <w:pPr>
        <w:pStyle w:val="TextBody"/>
        <w:bidi w:val="0"/>
        <w:spacing w:before="240" w:after="0"/>
        <w:jc w:val="both"/>
        <w:rPr>
          <w:rFonts w:ascii="ARIAL" w:hAnsi="ARIAL"/>
          <w:sz w:val="22"/>
        </w:rPr>
      </w:pPr>
      <w:r>
        <w:rPr>
          <w:rFonts w:ascii="ARIAL" w:hAnsi="ARIAL"/>
          <w:sz w:val="22"/>
        </w:rPr>
        <w:t xml:space="preserve">Only stockholders of record at the close of business on March 12, 2026 may vote at the Annual Meeting or any adjournment or postponement thereof. </w:t>
      </w:r>
    </w:p>
    <w:p>
      <w:pPr>
        <w:pStyle w:val="TextBody"/>
        <w:bidi w:val="0"/>
        <w:spacing w:before="240" w:after="0"/>
        <w:jc w:val="both"/>
        <w:rPr>
          <w:rFonts w:ascii="ARIAL" w:hAnsi="ARIAL"/>
          <w:b/>
          <w:sz w:val="22"/>
        </w:rPr>
      </w:pPr>
      <w:r>
        <w:rPr>
          <w:rFonts w:ascii="ARIAL" w:hAnsi="ARIAL"/>
          <w:b/>
          <w:sz w:val="22"/>
        </w:rPr>
        <w:t xml:space="preserve">Whether or not you plan to attend the Annual Meeting, please act promptly to vote your shares with respect to the proposals described above. You may vote your shares by marking, signing and dating the enclosed proxy card and returning it in the postage-paid envelope provided. You also may vote your shares by telephone or through the Internet by following the instructions set forth on the proxy card. If you attend the Annual Meeting, you may vote your shares in person, even if you have previously submitted a proxy in writing, by telephone or through the Internet.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We appreciate your continued confidence in our Company and look forward to having you join us at 9:00 a.m., Eastern Time, on May 7, 2026. </w:t>
      </w:r>
    </w:p>
    <w:p>
      <w:pPr>
        <w:pStyle w:val="TextBody"/>
        <w:bidi w:val="0"/>
        <w:spacing w:before="0" w:after="0"/>
        <w:jc w:val="left"/>
        <w:rPr/>
      </w:pPr>
      <w:r>
        <w:rPr/>
        <w:t> </w:t>
      </w:r>
    </w:p>
    <w:tbl>
      <w:tblPr>
        <w:tblW w:w="6200" w:type="dxa"/>
        <w:jc w:val="left"/>
        <w:tblInd w:w="0" w:type="dxa"/>
        <w:tblLayout w:type="fixed"/>
        <w:tblCellMar>
          <w:top w:w="0" w:type="dxa"/>
          <w:left w:w="0" w:type="dxa"/>
          <w:bottom w:w="0" w:type="dxa"/>
          <w:right w:w="0" w:type="dxa"/>
        </w:tblCellMar>
      </w:tblPr>
      <w:tblGrid>
        <w:gridCol w:w="6200"/>
      </w:tblGrid>
      <w:tr>
        <w:trPr/>
        <w:tc>
          <w:tcPr>
            <w:tcW w:w="6200" w:type="dxa"/>
            <w:tcBorders/>
            <w:vAlign w:val="center"/>
          </w:tcPr>
          <w:p>
            <w:pPr>
              <w:pStyle w:val="TableContents"/>
              <w:bidi w:val="0"/>
              <w:spacing w:before="0" w:after="283"/>
              <w:jc w:val="left"/>
              <w:rPr>
                <w:sz w:val="4"/>
                <w:szCs w:val="4"/>
              </w:rPr>
            </w:pPr>
            <w:r>
              <w:rPr>
                <w:sz w:val="4"/>
                <w:szCs w:val="4"/>
              </w:rPr>
            </w:r>
          </w:p>
        </w:tc>
      </w:tr>
      <w:tr>
        <w:trPr/>
        <w:tc>
          <w:tcPr>
            <w:tcW w:w="6200" w:type="dxa"/>
            <w:tcBorders/>
            <w:vAlign w:val="center"/>
          </w:tcPr>
          <w:p>
            <w:pPr>
              <w:pStyle w:val="TableContents"/>
              <w:bidi w:val="0"/>
              <w:spacing w:before="0" w:after="0"/>
              <w:jc w:val="both"/>
              <w:rPr>
                <w:rFonts w:ascii="ARIAL" w:hAnsi="ARIAL"/>
                <w:sz w:val="22"/>
              </w:rPr>
            </w:pPr>
            <w:r>
              <w:rPr>
                <w:rFonts w:ascii="ARIAL" w:hAnsi="ARIAL"/>
                <w:sz w:val="22"/>
              </w:rPr>
              <w:t>By Order of the Board of Directors,</w:t>
            </w:r>
          </w:p>
        </w:tc>
      </w:tr>
      <w:tr>
        <w:trPr/>
        <w:tc>
          <w:tcPr>
            <w:tcW w:w="6200" w:type="dxa"/>
            <w:tcBorders/>
            <w:vAlign w:val="center"/>
          </w:tcPr>
          <w:p>
            <w:pPr>
              <w:pStyle w:val="TableContents"/>
              <w:bidi w:val="0"/>
              <w:spacing w:before="0" w:after="283"/>
              <w:jc w:val="left"/>
              <w:rPr>
                <w:sz w:val="4"/>
                <w:szCs w:val="4"/>
              </w:rPr>
            </w:pPr>
            <w:r>
              <w:rPr>
                <w:sz w:val="4"/>
                <w:szCs w:val="4"/>
              </w:rPr>
            </w:r>
          </w:p>
        </w:tc>
      </w:tr>
      <w:tr>
        <w:trPr/>
        <w:tc>
          <w:tcPr>
            <w:tcW w:w="6200" w:type="dxa"/>
            <w:tcBorders/>
            <w:vAlign w:val="center"/>
          </w:tcPr>
          <w:p>
            <w:pPr>
              <w:pStyle w:val="TableContents"/>
              <w:bidi w:val="0"/>
              <w:spacing w:before="0" w:after="0"/>
              <w:jc w:val="both"/>
              <w:rPr/>
            </w:pPr>
            <w:r>
              <w:rPr/>
              <w:drawing>
                <wp:inline distT="0" distB="0" distL="0" distR="0">
                  <wp:extent cx="2719070" cy="5213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19070" cy="521335"/>
                          </a:xfrm>
                          <a:prstGeom prst="rect">
                            <a:avLst/>
                          </a:prstGeom>
                        </pic:spPr>
                      </pic:pic>
                    </a:graphicData>
                  </a:graphic>
                </wp:inline>
              </w:drawing>
            </w:r>
            <w:r>
              <w:rPr/>
              <w:t xml:space="preserve"> </w:t>
            </w:r>
          </w:p>
        </w:tc>
      </w:tr>
      <w:tr>
        <w:trPr/>
        <w:tc>
          <w:tcPr>
            <w:tcW w:w="6200" w:type="dxa"/>
            <w:tcBorders/>
            <w:vAlign w:val="center"/>
          </w:tcPr>
          <w:p>
            <w:pPr>
              <w:pStyle w:val="TableContents"/>
              <w:bidi w:val="0"/>
              <w:spacing w:before="0" w:after="0"/>
              <w:jc w:val="both"/>
              <w:rPr>
                <w:rFonts w:ascii="ARIAL" w:hAnsi="ARIAL"/>
                <w:sz w:val="22"/>
              </w:rPr>
            </w:pPr>
            <w:r>
              <w:rPr>
                <w:rFonts w:ascii="ARIAL" w:hAnsi="ARIAL"/>
                <w:sz w:val="22"/>
              </w:rPr>
              <w:t>Bradford Turner</w:t>
            </w:r>
          </w:p>
        </w:tc>
      </w:tr>
      <w:tr>
        <w:trPr/>
        <w:tc>
          <w:tcPr>
            <w:tcW w:w="6200" w:type="dxa"/>
            <w:tcBorders/>
            <w:vAlign w:val="center"/>
          </w:tcPr>
          <w:p>
            <w:pPr>
              <w:pStyle w:val="TableContents"/>
              <w:bidi w:val="0"/>
              <w:spacing w:before="0" w:after="0"/>
              <w:jc w:val="both"/>
              <w:rPr>
                <w:rFonts w:ascii="ARIAL" w:hAnsi="ARIAL"/>
                <w:i/>
                <w:sz w:val="22"/>
              </w:rPr>
            </w:pPr>
            <w:r>
              <w:rPr>
                <w:rFonts w:ascii="ARIAL" w:hAnsi="ARIAL"/>
                <w:i/>
                <w:sz w:val="22"/>
              </w:rPr>
              <w:t>Chief Legal and Administrative Officer and Corporate Secretary</w:t>
            </w:r>
          </w:p>
        </w:tc>
      </w:tr>
    </w:tbl>
    <w:p>
      <w:pPr>
        <w:pStyle w:val="TextBody"/>
        <w:bidi w:val="0"/>
        <w:spacing w:before="240" w:after="0"/>
        <w:jc w:val="both"/>
        <w:rPr>
          <w:rFonts w:ascii="ARIAL" w:hAnsi="ARIAL"/>
          <w:sz w:val="22"/>
        </w:rPr>
      </w:pPr>
      <w:r>
        <w:rPr>
          <w:rFonts w:ascii="ARIAL" w:hAnsi="ARIAL"/>
          <w:sz w:val="22"/>
        </w:rPr>
        <w:t xml:space="preserve">March 26, 2026 </w:t>
      </w:r>
    </w:p>
    <w:p>
      <w:pPr>
        <w:pStyle w:val="TextBody"/>
        <w:bidi w:val="0"/>
        <w:spacing w:before="240" w:after="0"/>
        <w:jc w:val="both"/>
        <w:rPr>
          <w:rFonts w:ascii="ARIAL" w:hAnsi="ARIAL"/>
          <w:b/>
          <w:sz w:val="22"/>
        </w:rPr>
      </w:pPr>
      <w:r>
        <w:rPr>
          <w:rFonts w:ascii="ARIAL" w:hAnsi="ARIAL"/>
          <w:b/>
          <w:sz w:val="22"/>
        </w:rPr>
        <w:t xml:space="preserve">Important Notice Regarding the Availability of Proxy Materials for the Stockholder Meeting to Be Held on May 7, 2026. </w:t>
      </w:r>
    </w:p>
    <w:p>
      <w:pPr>
        <w:pStyle w:val="TextBody"/>
        <w:bidi w:val="0"/>
        <w:spacing w:before="240" w:after="0"/>
        <w:jc w:val="center"/>
        <w:rPr>
          <w:rFonts w:ascii="ARIAL" w:hAnsi="ARIAL"/>
          <w:b/>
          <w:sz w:val="22"/>
        </w:rPr>
      </w:pPr>
      <w:r>
        <w:rPr>
          <w:rFonts w:ascii="ARIAL" w:hAnsi="ARIAL"/>
          <w:b/>
          <w:sz w:val="22"/>
        </w:rPr>
        <w:t>The Company’s Proxy Statement and 2025 Annual Report to Stockholders are available</w:t>
        <w:br/>
        <w:t xml:space="preserve">at WWW.PROXYVOTE.COM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2"/>
          <w:u w:val="single"/>
        </w:rPr>
      </w:pPr>
      <w:bookmarkStart w:id="2" w:name="toc"/>
      <w:bookmarkEnd w:id="2"/>
      <w:r>
        <w:rPr>
          <w:rFonts w:ascii="ARIAL" w:hAnsi="ARIAL"/>
          <w:b/>
          <w:sz w:val="22"/>
          <w:u w:val="single"/>
        </w:rPr>
        <w:t xml:space="preserve">Table of Contents </w:t>
      </w:r>
    </w:p>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9050"/>
        <w:gridCol w:w="60"/>
        <w:gridCol w:w="92"/>
        <w:gridCol w:w="423"/>
        <w:gridCol w:w="75"/>
      </w:tblGrid>
      <w:tr>
        <w:trPr/>
        <w:tc>
          <w:tcPr>
            <w:tcW w:w="9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5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050" w:type="dxa"/>
            <w:tcBorders/>
            <w:vAlign w:val="center"/>
          </w:tcPr>
          <w:p>
            <w:pPr>
              <w:pStyle w:val="TableContents"/>
              <w:bidi w:val="0"/>
              <w:spacing w:before="0" w:after="283"/>
              <w:jc w:val="left"/>
              <w:rPr>
                <w:b/>
              </w:rPr>
            </w:pPr>
            <w:r>
              <w:rPr>
                <w:b/>
              </w:rPr>
              <w:t>Section</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050" w:type="dxa"/>
            <w:tcBorders/>
            <w:shd w:fill="D5EBF6" w:val="clear"/>
            <w:vAlign w:val="center"/>
          </w:tcPr>
          <w:p>
            <w:pPr>
              <w:pStyle w:val="TableContents"/>
              <w:bidi w:val="0"/>
              <w:spacing w:before="0" w:after="283"/>
              <w:jc w:val="left"/>
              <w:rPr>
                <w:sz w:val="4"/>
                <w:szCs w:val="4"/>
              </w:rPr>
            </w:pPr>
            <w:r>
              <w:rPr>
                <w:sz w:val="4"/>
                <w:szCs w:val="4"/>
              </w:rPr>
            </w:r>
          </w:p>
        </w:tc>
        <w:tc>
          <w:tcPr>
            <w:tcW w:w="6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9050" w:type="dxa"/>
            <w:tcBorders/>
            <w:shd w:fill="D5EBF6" w:val="clear"/>
            <w:vAlign w:val="center"/>
          </w:tcPr>
          <w:p>
            <w:pPr>
              <w:pStyle w:val="TableContents"/>
              <w:bidi w:val="0"/>
              <w:spacing w:before="0" w:after="0"/>
              <w:jc w:val="left"/>
              <w:rPr/>
            </w:pPr>
            <w:hyperlink w:anchor="toc52719_1">
              <w:r>
                <w:rPr>
                  <w:rStyle w:val="InternetLink"/>
                  <w:rFonts w:ascii="ARIAL" w:hAnsi="ARIAL"/>
                  <w:sz w:val="22"/>
                </w:rPr>
                <w:t>Questions and Answers About Voting at the Annual Meeting and Related Matters</w:t>
              </w:r>
            </w:hyperlink>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before="0" w:after="283"/>
              <w:jc w:val="left"/>
              <w:rPr/>
            </w:pPr>
            <w:r>
              <w:rPr/>
              <w:t> </w:t>
            </w:r>
          </w:p>
        </w:tc>
        <w:tc>
          <w:tcPr>
            <w:tcW w:w="423" w:type="dxa"/>
            <w:tcBorders/>
            <w:shd w:fill="D5EBF6" w:val="clear"/>
            <w:vAlign w:val="center"/>
          </w:tcPr>
          <w:p>
            <w:pPr>
              <w:pStyle w:val="TableContents"/>
              <w:bidi w:val="0"/>
              <w:spacing w:before="0" w:after="283"/>
              <w:jc w:val="right"/>
              <w:rPr/>
            </w:pPr>
            <w:r>
              <w:rPr/>
              <w:t>1</w:t>
            </w:r>
          </w:p>
        </w:tc>
        <w:tc>
          <w:tcPr>
            <w:tcW w:w="75" w:type="dxa"/>
            <w:tcBorders/>
            <w:shd w:fill="D5EBF6" w:val="clear"/>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050" w:type="dxa"/>
            <w:tcBorders/>
            <w:vAlign w:val="center"/>
          </w:tcPr>
          <w:p>
            <w:pPr>
              <w:pStyle w:val="TableContents"/>
              <w:bidi w:val="0"/>
              <w:spacing w:before="0" w:after="0"/>
              <w:jc w:val="left"/>
              <w:rPr/>
            </w:pPr>
            <w:hyperlink w:anchor="toc52719_2">
              <w:r>
                <w:rPr>
                  <w:rStyle w:val="InternetLink"/>
                  <w:rFonts w:ascii="ARIAL" w:hAnsi="ARIAL"/>
                  <w:sz w:val="22"/>
                </w:rPr>
                <w:t>Proxy Statement Summary</w:t>
              </w:r>
            </w:hyperlink>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050" w:type="dxa"/>
            <w:tcBorders/>
            <w:shd w:fill="D5EBF6" w:val="clear"/>
            <w:vAlign w:val="center"/>
          </w:tcPr>
          <w:p>
            <w:pPr>
              <w:pStyle w:val="TableContents"/>
              <w:bidi w:val="0"/>
              <w:spacing w:before="0" w:after="283"/>
              <w:jc w:val="left"/>
              <w:rPr>
                <w:sz w:val="4"/>
                <w:szCs w:val="4"/>
              </w:rPr>
            </w:pPr>
            <w:r>
              <w:rPr>
                <w:sz w:val="4"/>
                <w:szCs w:val="4"/>
              </w:rPr>
            </w:r>
          </w:p>
        </w:tc>
        <w:tc>
          <w:tcPr>
            <w:tcW w:w="6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9050" w:type="dxa"/>
            <w:tcBorders/>
            <w:shd w:fill="D5EBF6" w:val="clear"/>
            <w:vAlign w:val="center"/>
          </w:tcPr>
          <w:p>
            <w:pPr>
              <w:pStyle w:val="TableContents"/>
              <w:bidi w:val="0"/>
              <w:spacing w:before="0" w:after="0"/>
              <w:jc w:val="left"/>
              <w:rPr/>
            </w:pPr>
            <w:hyperlink w:anchor="toc52719_3">
              <w:r>
                <w:rPr>
                  <w:rStyle w:val="InternetLink"/>
                  <w:rFonts w:ascii="ARIAL" w:hAnsi="ARIAL"/>
                  <w:sz w:val="22"/>
                </w:rPr>
                <w:t>Proposal 1 – Election of Directors</w:t>
              </w:r>
            </w:hyperlink>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before="0" w:after="283"/>
              <w:jc w:val="left"/>
              <w:rPr/>
            </w:pPr>
            <w:r>
              <w:rPr/>
              <w:t> </w:t>
            </w:r>
          </w:p>
        </w:tc>
        <w:tc>
          <w:tcPr>
            <w:tcW w:w="423" w:type="dxa"/>
            <w:tcBorders/>
            <w:shd w:fill="D5EBF6" w:val="clear"/>
            <w:vAlign w:val="center"/>
          </w:tcPr>
          <w:p>
            <w:pPr>
              <w:pStyle w:val="TableContents"/>
              <w:bidi w:val="0"/>
              <w:spacing w:before="0" w:after="283"/>
              <w:jc w:val="right"/>
              <w:rPr/>
            </w:pPr>
            <w:r>
              <w:rPr/>
              <w:t>12</w:t>
            </w:r>
          </w:p>
        </w:tc>
        <w:tc>
          <w:tcPr>
            <w:tcW w:w="75" w:type="dxa"/>
            <w:tcBorders/>
            <w:shd w:fill="D5EBF6" w:val="clear"/>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050" w:type="dxa"/>
            <w:tcBorders/>
            <w:vAlign w:val="center"/>
          </w:tcPr>
          <w:p>
            <w:pPr>
              <w:pStyle w:val="TableContents"/>
              <w:bidi w:val="0"/>
              <w:spacing w:before="0" w:after="0"/>
              <w:jc w:val="left"/>
              <w:rPr/>
            </w:pPr>
            <w:hyperlink w:anchor="toc52719_4">
              <w:r>
                <w:rPr>
                  <w:rStyle w:val="InternetLink"/>
                  <w:rFonts w:ascii="ARIAL" w:hAnsi="ARIAL"/>
                  <w:sz w:val="22"/>
                </w:rPr>
                <w:t>Information Regarding Board of Directors and Committees and Corporate Governance</w:t>
              </w:r>
            </w:hyperlink>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050" w:type="dxa"/>
            <w:tcBorders/>
            <w:shd w:fill="D5EBF6" w:val="clear"/>
            <w:vAlign w:val="center"/>
          </w:tcPr>
          <w:p>
            <w:pPr>
              <w:pStyle w:val="TableContents"/>
              <w:bidi w:val="0"/>
              <w:spacing w:before="0" w:after="283"/>
              <w:jc w:val="left"/>
              <w:rPr>
                <w:sz w:val="4"/>
                <w:szCs w:val="4"/>
              </w:rPr>
            </w:pPr>
            <w:r>
              <w:rPr>
                <w:sz w:val="4"/>
                <w:szCs w:val="4"/>
              </w:rPr>
            </w:r>
          </w:p>
        </w:tc>
        <w:tc>
          <w:tcPr>
            <w:tcW w:w="6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9050" w:type="dxa"/>
            <w:tcBorders/>
            <w:shd w:fill="D5EBF6" w:val="clear"/>
            <w:vAlign w:val="center"/>
          </w:tcPr>
          <w:p>
            <w:pPr>
              <w:pStyle w:val="TableContents"/>
              <w:bidi w:val="0"/>
              <w:spacing w:before="0" w:after="0"/>
              <w:jc w:val="left"/>
              <w:rPr/>
            </w:pPr>
            <w:hyperlink w:anchor="toc52719_5">
              <w:r>
                <w:rPr>
                  <w:rStyle w:val="InternetLink"/>
                  <w:rFonts w:ascii="ARIAL" w:hAnsi="ARIAL"/>
                  <w:sz w:val="22"/>
                </w:rPr>
                <w:t>Certain Relationships and Related Transactions</w:t>
              </w:r>
            </w:hyperlink>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before="0" w:after="283"/>
              <w:jc w:val="left"/>
              <w:rPr/>
            </w:pPr>
            <w:r>
              <w:rPr/>
              <w:t> </w:t>
            </w:r>
          </w:p>
        </w:tc>
        <w:tc>
          <w:tcPr>
            <w:tcW w:w="423" w:type="dxa"/>
            <w:tcBorders/>
            <w:shd w:fill="D5EBF6" w:val="clear"/>
            <w:vAlign w:val="center"/>
          </w:tcPr>
          <w:p>
            <w:pPr>
              <w:pStyle w:val="TableContents"/>
              <w:bidi w:val="0"/>
              <w:spacing w:before="0" w:after="283"/>
              <w:jc w:val="right"/>
              <w:rPr/>
            </w:pPr>
            <w:r>
              <w:rPr/>
              <w:t>29</w:t>
            </w:r>
          </w:p>
        </w:tc>
        <w:tc>
          <w:tcPr>
            <w:tcW w:w="75" w:type="dxa"/>
            <w:tcBorders/>
            <w:shd w:fill="D5EBF6" w:val="clear"/>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050" w:type="dxa"/>
            <w:tcBorders/>
            <w:vAlign w:val="center"/>
          </w:tcPr>
          <w:p>
            <w:pPr>
              <w:pStyle w:val="TableContents"/>
              <w:bidi w:val="0"/>
              <w:spacing w:before="0" w:after="0"/>
              <w:jc w:val="left"/>
              <w:rPr/>
            </w:pPr>
            <w:hyperlink w:anchor="toc52719_6">
              <w:r>
                <w:rPr>
                  <w:rStyle w:val="InternetLink"/>
                  <w:rFonts w:ascii="ARIAL" w:hAnsi="ARIAL"/>
                  <w:sz w:val="22"/>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050" w:type="dxa"/>
            <w:tcBorders/>
            <w:shd w:fill="D5EBF6" w:val="clear"/>
            <w:vAlign w:val="center"/>
          </w:tcPr>
          <w:p>
            <w:pPr>
              <w:pStyle w:val="TableContents"/>
              <w:bidi w:val="0"/>
              <w:spacing w:before="0" w:after="283"/>
              <w:jc w:val="left"/>
              <w:rPr>
                <w:sz w:val="4"/>
                <w:szCs w:val="4"/>
              </w:rPr>
            </w:pPr>
            <w:r>
              <w:rPr>
                <w:sz w:val="4"/>
                <w:szCs w:val="4"/>
              </w:rPr>
            </w:r>
          </w:p>
        </w:tc>
        <w:tc>
          <w:tcPr>
            <w:tcW w:w="6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9050" w:type="dxa"/>
            <w:tcBorders/>
            <w:shd w:fill="D5EBF6" w:val="clear"/>
            <w:vAlign w:val="center"/>
          </w:tcPr>
          <w:p>
            <w:pPr>
              <w:pStyle w:val="TableContents"/>
              <w:bidi w:val="0"/>
              <w:spacing w:before="0" w:after="0"/>
              <w:jc w:val="left"/>
              <w:rPr/>
            </w:pPr>
            <w:hyperlink w:anchor="toc52719_7">
              <w:r>
                <w:rPr>
                  <w:rStyle w:val="InternetLink"/>
                  <w:rFonts w:ascii="ARIAL" w:hAnsi="ARIAL"/>
                  <w:sz w:val="22"/>
                </w:rPr>
                <w:t>Compensation and Human Capital Committee Report</w:t>
              </w:r>
            </w:hyperlink>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before="0" w:after="283"/>
              <w:jc w:val="left"/>
              <w:rPr/>
            </w:pPr>
            <w:r>
              <w:rPr/>
              <w:t> </w:t>
            </w:r>
          </w:p>
        </w:tc>
        <w:tc>
          <w:tcPr>
            <w:tcW w:w="423" w:type="dxa"/>
            <w:tcBorders/>
            <w:shd w:fill="D5EBF6" w:val="clear"/>
            <w:vAlign w:val="center"/>
          </w:tcPr>
          <w:p>
            <w:pPr>
              <w:pStyle w:val="TableContents"/>
              <w:bidi w:val="0"/>
              <w:spacing w:before="0" w:after="283"/>
              <w:jc w:val="right"/>
              <w:rPr/>
            </w:pPr>
            <w:r>
              <w:rPr/>
              <w:t>30</w:t>
            </w:r>
          </w:p>
        </w:tc>
        <w:tc>
          <w:tcPr>
            <w:tcW w:w="75" w:type="dxa"/>
            <w:tcBorders/>
            <w:shd w:fill="D5EBF6" w:val="clear"/>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050" w:type="dxa"/>
            <w:tcBorders/>
            <w:vAlign w:val="center"/>
          </w:tcPr>
          <w:p>
            <w:pPr>
              <w:pStyle w:val="TableContents"/>
              <w:bidi w:val="0"/>
              <w:spacing w:before="0" w:after="0"/>
              <w:jc w:val="left"/>
              <w:rPr/>
            </w:pPr>
            <w:hyperlink w:anchor="toc52719_8">
              <w:r>
                <w:rPr>
                  <w:rStyle w:val="InternetLink"/>
                  <w:rFonts w:ascii="ARIAL" w:hAnsi="ARIAL"/>
                  <w:sz w:val="22"/>
                </w:rPr>
                <w:t>Executive Compensation</w:t>
              </w:r>
            </w:hyperlink>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050" w:type="dxa"/>
            <w:tcBorders/>
            <w:shd w:fill="D5EBF6" w:val="clear"/>
            <w:vAlign w:val="center"/>
          </w:tcPr>
          <w:p>
            <w:pPr>
              <w:pStyle w:val="TableContents"/>
              <w:bidi w:val="0"/>
              <w:spacing w:before="0" w:after="283"/>
              <w:jc w:val="left"/>
              <w:rPr>
                <w:sz w:val="4"/>
                <w:szCs w:val="4"/>
              </w:rPr>
            </w:pPr>
            <w:r>
              <w:rPr>
                <w:sz w:val="4"/>
                <w:szCs w:val="4"/>
              </w:rPr>
            </w:r>
          </w:p>
        </w:tc>
        <w:tc>
          <w:tcPr>
            <w:tcW w:w="6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9050" w:type="dxa"/>
            <w:tcBorders/>
            <w:shd w:fill="D5EBF6" w:val="clear"/>
            <w:vAlign w:val="center"/>
          </w:tcPr>
          <w:p>
            <w:pPr>
              <w:pStyle w:val="TableContents"/>
              <w:bidi w:val="0"/>
              <w:spacing w:before="0" w:after="0"/>
              <w:jc w:val="left"/>
              <w:rPr/>
            </w:pPr>
            <w:hyperlink w:anchor="toc52719_9">
              <w:r>
                <w:rPr>
                  <w:rStyle w:val="InternetLink"/>
                  <w:rFonts w:ascii="ARIAL" w:hAnsi="ARIAL"/>
                  <w:sz w:val="22"/>
                </w:rPr>
                <w:t>Stock Ownership Information</w:t>
              </w:r>
            </w:hyperlink>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before="0" w:after="283"/>
              <w:jc w:val="left"/>
              <w:rPr/>
            </w:pPr>
            <w:r>
              <w:rPr/>
              <w:t> </w:t>
            </w:r>
          </w:p>
        </w:tc>
        <w:tc>
          <w:tcPr>
            <w:tcW w:w="423" w:type="dxa"/>
            <w:tcBorders/>
            <w:shd w:fill="D5EBF6" w:val="clear"/>
            <w:vAlign w:val="center"/>
          </w:tcPr>
          <w:p>
            <w:pPr>
              <w:pStyle w:val="TableContents"/>
              <w:bidi w:val="0"/>
              <w:spacing w:before="0" w:after="283"/>
              <w:jc w:val="right"/>
              <w:rPr/>
            </w:pPr>
            <w:r>
              <w:rPr/>
              <w:t>78</w:t>
            </w:r>
          </w:p>
        </w:tc>
        <w:tc>
          <w:tcPr>
            <w:tcW w:w="75" w:type="dxa"/>
            <w:tcBorders/>
            <w:shd w:fill="D5EBF6" w:val="clear"/>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050" w:type="dxa"/>
            <w:tcBorders/>
            <w:vAlign w:val="center"/>
          </w:tcPr>
          <w:p>
            <w:pPr>
              <w:pStyle w:val="TableContents"/>
              <w:bidi w:val="0"/>
              <w:spacing w:before="0" w:after="0"/>
              <w:jc w:val="left"/>
              <w:rPr/>
            </w:pPr>
            <w:hyperlink w:anchor="toc52719_10">
              <w:r>
                <w:rPr>
                  <w:rStyle w:val="InternetLink"/>
                  <w:rFonts w:ascii="ARIAL" w:hAnsi="ARIAL"/>
                  <w:sz w:val="22"/>
                </w:rPr>
                <w:t>Audit Committee Report</w:t>
              </w:r>
            </w:hyperlink>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9050" w:type="dxa"/>
            <w:tcBorders/>
            <w:shd w:fill="D5EBF6" w:val="clear"/>
            <w:vAlign w:val="center"/>
          </w:tcPr>
          <w:p>
            <w:pPr>
              <w:pStyle w:val="TableContents"/>
              <w:bidi w:val="0"/>
              <w:spacing w:before="0" w:after="283"/>
              <w:jc w:val="left"/>
              <w:rPr>
                <w:sz w:val="4"/>
                <w:szCs w:val="4"/>
              </w:rPr>
            </w:pPr>
            <w:r>
              <w:rPr>
                <w:sz w:val="4"/>
                <w:szCs w:val="4"/>
              </w:rPr>
            </w:r>
          </w:p>
        </w:tc>
        <w:tc>
          <w:tcPr>
            <w:tcW w:w="6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9050" w:type="dxa"/>
            <w:tcBorders/>
            <w:shd w:fill="D5EBF6" w:val="clear"/>
            <w:vAlign w:val="center"/>
          </w:tcPr>
          <w:p>
            <w:pPr>
              <w:pStyle w:val="TableContents"/>
              <w:bidi w:val="0"/>
              <w:spacing w:before="0" w:after="0"/>
              <w:jc w:val="left"/>
              <w:rPr/>
            </w:pPr>
            <w:hyperlink w:anchor="toc52719_11">
              <w:r>
                <w:rPr>
                  <w:rStyle w:val="InternetLink"/>
                  <w:rFonts w:ascii="ARIAL" w:hAnsi="ARIAL"/>
                  <w:sz w:val="22"/>
                </w:rPr>
                <w:t>Proposal 2 – Approval of the Appointment of Independent Registered Public Accounting Firm</w:t>
              </w:r>
            </w:hyperlink>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before="0" w:after="283"/>
              <w:jc w:val="left"/>
              <w:rPr/>
            </w:pPr>
            <w:r>
              <w:rPr/>
              <w:t> </w:t>
            </w:r>
          </w:p>
        </w:tc>
        <w:tc>
          <w:tcPr>
            <w:tcW w:w="423" w:type="dxa"/>
            <w:tcBorders/>
            <w:shd w:fill="D5EBF6" w:val="clear"/>
            <w:vAlign w:val="center"/>
          </w:tcPr>
          <w:p>
            <w:pPr>
              <w:pStyle w:val="TableContents"/>
              <w:bidi w:val="0"/>
              <w:spacing w:before="0" w:after="283"/>
              <w:jc w:val="right"/>
              <w:rPr/>
            </w:pPr>
            <w:r>
              <w:rPr/>
              <w:t>82</w:t>
            </w:r>
          </w:p>
        </w:tc>
        <w:tc>
          <w:tcPr>
            <w:tcW w:w="75" w:type="dxa"/>
            <w:tcBorders/>
            <w:shd w:fill="D5EBF6" w:val="clear"/>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050" w:type="dxa"/>
            <w:tcBorders/>
            <w:vAlign w:val="center"/>
          </w:tcPr>
          <w:p>
            <w:pPr>
              <w:pStyle w:val="TableContents"/>
              <w:bidi w:val="0"/>
              <w:spacing w:before="0" w:after="0"/>
              <w:jc w:val="left"/>
              <w:rPr/>
            </w:pPr>
            <w:hyperlink w:anchor="toc52719_12">
              <w:r>
                <w:rPr>
                  <w:rStyle w:val="InternetLink"/>
                  <w:rFonts w:ascii="ARIAL" w:hAnsi="ARIAL"/>
                  <w:sz w:val="22"/>
                </w:rPr>
                <w:t>Proposal 3 – Approval of an Advisory Resolution on Named Executive Officer Compensation</w:t>
              </w:r>
            </w:hyperlink>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050" w:type="dxa"/>
            <w:tcBorders/>
            <w:shd w:fill="D5EBF6" w:val="clear"/>
            <w:vAlign w:val="center"/>
          </w:tcPr>
          <w:p>
            <w:pPr>
              <w:pStyle w:val="TableContents"/>
              <w:bidi w:val="0"/>
              <w:spacing w:before="0" w:after="283"/>
              <w:jc w:val="left"/>
              <w:rPr>
                <w:sz w:val="4"/>
                <w:szCs w:val="4"/>
              </w:rPr>
            </w:pPr>
            <w:r>
              <w:rPr>
                <w:sz w:val="4"/>
                <w:szCs w:val="4"/>
              </w:rPr>
            </w:r>
          </w:p>
        </w:tc>
        <w:tc>
          <w:tcPr>
            <w:tcW w:w="6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9050" w:type="dxa"/>
            <w:tcBorders/>
            <w:shd w:fill="D5EBF6" w:val="clear"/>
            <w:vAlign w:val="center"/>
          </w:tcPr>
          <w:p>
            <w:pPr>
              <w:pStyle w:val="TableContents"/>
              <w:bidi w:val="0"/>
              <w:spacing w:before="0" w:after="0"/>
              <w:jc w:val="left"/>
              <w:rPr/>
            </w:pPr>
            <w:hyperlink w:anchor="toc52719_13">
              <w:r>
                <w:rPr>
                  <w:rStyle w:val="InternetLink"/>
                  <w:rFonts w:ascii="ARIAL" w:hAnsi="ARIAL"/>
                  <w:sz w:val="22"/>
                </w:rPr>
                <w:t>Proposal 4 – Approval of the Newell Brands Inc. 2026 Incentive Plan</w:t>
              </w:r>
            </w:hyperlink>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before="0" w:after="283"/>
              <w:jc w:val="left"/>
              <w:rPr/>
            </w:pPr>
            <w:r>
              <w:rPr/>
              <w:t> </w:t>
            </w:r>
          </w:p>
        </w:tc>
        <w:tc>
          <w:tcPr>
            <w:tcW w:w="423" w:type="dxa"/>
            <w:tcBorders/>
            <w:shd w:fill="D5EBF6" w:val="clear"/>
            <w:vAlign w:val="center"/>
          </w:tcPr>
          <w:p>
            <w:pPr>
              <w:pStyle w:val="TableContents"/>
              <w:bidi w:val="0"/>
              <w:spacing w:before="0" w:after="283"/>
              <w:jc w:val="right"/>
              <w:rPr/>
            </w:pPr>
            <w:r>
              <w:rPr/>
              <w:t>84</w:t>
            </w:r>
          </w:p>
        </w:tc>
        <w:tc>
          <w:tcPr>
            <w:tcW w:w="75" w:type="dxa"/>
            <w:tcBorders/>
            <w:shd w:fill="D5EBF6" w:val="clear"/>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050" w:type="dxa"/>
            <w:tcBorders/>
            <w:vAlign w:val="center"/>
          </w:tcPr>
          <w:p>
            <w:pPr>
              <w:pStyle w:val="TableContents"/>
              <w:bidi w:val="0"/>
              <w:spacing w:before="0" w:after="0"/>
              <w:jc w:val="left"/>
              <w:rPr/>
            </w:pPr>
            <w:hyperlink w:anchor="toc52719_14">
              <w:r>
                <w:rPr>
                  <w:rStyle w:val="InternetLink"/>
                  <w:rFonts w:ascii="ARIAL" w:hAnsi="ARIAL"/>
                  <w:sz w:val="22"/>
                </w:rPr>
                <w:t>Equity Compensation Plan Information</w:t>
              </w:r>
            </w:hyperlink>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r>
        <w:trPr/>
        <w:tc>
          <w:tcPr>
            <w:tcW w:w="9050" w:type="dxa"/>
            <w:tcBorders/>
            <w:shd w:fill="D5EBF6" w:val="clear"/>
            <w:vAlign w:val="center"/>
          </w:tcPr>
          <w:p>
            <w:pPr>
              <w:pStyle w:val="TableContents"/>
              <w:bidi w:val="0"/>
              <w:spacing w:before="0" w:after="283"/>
              <w:jc w:val="left"/>
              <w:rPr>
                <w:sz w:val="4"/>
                <w:szCs w:val="4"/>
              </w:rPr>
            </w:pPr>
            <w:r>
              <w:rPr>
                <w:sz w:val="4"/>
                <w:szCs w:val="4"/>
              </w:rPr>
            </w:r>
          </w:p>
        </w:tc>
        <w:tc>
          <w:tcPr>
            <w:tcW w:w="6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9050" w:type="dxa"/>
            <w:tcBorders/>
            <w:shd w:fill="D5EBF6" w:val="clear"/>
            <w:vAlign w:val="center"/>
          </w:tcPr>
          <w:p>
            <w:pPr>
              <w:pStyle w:val="TableContents"/>
              <w:bidi w:val="0"/>
              <w:spacing w:before="0" w:after="0"/>
              <w:jc w:val="left"/>
              <w:rPr/>
            </w:pPr>
            <w:hyperlink w:anchor="toc52719_15">
              <w:r>
                <w:rPr>
                  <w:rStyle w:val="InternetLink"/>
                  <w:rFonts w:ascii="ARIAL" w:hAnsi="ARIAL"/>
                  <w:sz w:val="22"/>
                </w:rPr>
                <w:t>Other Business</w:t>
              </w:r>
            </w:hyperlink>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before="0" w:after="283"/>
              <w:jc w:val="left"/>
              <w:rPr/>
            </w:pPr>
            <w:r>
              <w:rPr/>
              <w:t> </w:t>
            </w:r>
          </w:p>
        </w:tc>
        <w:tc>
          <w:tcPr>
            <w:tcW w:w="423" w:type="dxa"/>
            <w:tcBorders/>
            <w:shd w:fill="D5EBF6" w:val="clear"/>
            <w:vAlign w:val="center"/>
          </w:tcPr>
          <w:p>
            <w:pPr>
              <w:pStyle w:val="TableContents"/>
              <w:bidi w:val="0"/>
              <w:spacing w:before="0" w:after="283"/>
              <w:jc w:val="right"/>
              <w:rPr/>
            </w:pPr>
            <w:r>
              <w:rPr/>
              <w:t>98</w:t>
            </w:r>
          </w:p>
        </w:tc>
        <w:tc>
          <w:tcPr>
            <w:tcW w:w="75" w:type="dxa"/>
            <w:tcBorders/>
            <w:shd w:fill="D5EBF6" w:val="clear"/>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9050" w:type="dxa"/>
            <w:tcBorders/>
            <w:vAlign w:val="center"/>
          </w:tcPr>
          <w:p>
            <w:pPr>
              <w:pStyle w:val="TableContents"/>
              <w:bidi w:val="0"/>
              <w:spacing w:before="0" w:after="0"/>
              <w:jc w:val="left"/>
              <w:rPr/>
            </w:pPr>
            <w:hyperlink w:anchor="toc52719_17">
              <w:r>
                <w:rPr>
                  <w:rStyle w:val="InternetLink"/>
                  <w:rFonts w:ascii="ARIAL" w:hAnsi="ARIAL"/>
                  <w:sz w:val="22"/>
                </w:rPr>
                <w:t>Appendix A – Newell Brands Inc. 2026 Incentive Plan</w:t>
              </w:r>
            </w:hyperlink>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2"/>
        </w:rPr>
      </w:pPr>
      <w:r>
        <w:rPr>
          <w:rFonts w:ascii="ARIAL" w:hAnsi="ARIAL"/>
          <w:b/>
          <w:sz w:val="22"/>
        </w:rPr>
        <w:t xml:space="preserve">NEWELL BRANDS INC. </w:t>
      </w:r>
    </w:p>
    <w:p>
      <w:pPr>
        <w:pStyle w:val="TextBody"/>
        <w:bidi w:val="0"/>
        <w:spacing w:before="240" w:after="0"/>
        <w:jc w:val="center"/>
        <w:rPr>
          <w:rFonts w:ascii="ARIAL" w:hAnsi="ARIAL"/>
          <w:b/>
          <w:sz w:val="22"/>
        </w:rPr>
      </w:pPr>
      <w:r>
        <w:rPr>
          <w:rFonts w:ascii="ARIAL" w:hAnsi="ARIAL"/>
          <w:b/>
          <w:sz w:val="22"/>
        </w:rPr>
        <w:t xml:space="preserve">5 Concourse Parkway, NE, 8th Floor, Atlanta, Georgia 30328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b/>
          <w:sz w:val="22"/>
        </w:rPr>
      </w:pPr>
      <w:r>
        <w:rPr>
          <w:rFonts w:ascii="ARIAL" w:hAnsi="ARIAL"/>
          <w:b/>
          <w:sz w:val="22"/>
        </w:rPr>
        <w:t xml:space="preserve">PROXY STATEMENT FOR ANNUAL MEETING OF STOCKHOLDERS TO BE HELD ON MAY 7, 2026 </w:t>
      </w:r>
    </w:p>
    <w:p>
      <w:pPr>
        <w:pStyle w:val="TextBody"/>
        <w:bidi w:val="0"/>
        <w:spacing w:before="240" w:after="0"/>
        <w:jc w:val="both"/>
        <w:rPr>
          <w:rFonts w:ascii="ARIAL" w:hAnsi="ARIAL"/>
          <w:sz w:val="22"/>
        </w:rPr>
      </w:pPr>
      <w:r>
        <w:rPr>
          <w:rFonts w:ascii="ARIAL" w:hAnsi="ARIAL"/>
          <w:sz w:val="22"/>
        </w:rPr>
        <w:t>You are receiving this Proxy Statement (the “</w:t>
      </w:r>
      <w:r>
        <w:rPr>
          <w:rFonts w:ascii="ARIAL" w:hAnsi="ARIAL"/>
          <w:b/>
          <w:sz w:val="22"/>
        </w:rPr>
        <w:t>Proxy Statement</w:t>
      </w:r>
      <w:r>
        <w:rPr>
          <w:rFonts w:ascii="ARIAL" w:hAnsi="ARIAL"/>
          <w:sz w:val="22"/>
        </w:rPr>
        <w:t>”) and proxy card in connection with the 2026 annual meeting of stockholders (the “</w:t>
      </w:r>
      <w:r>
        <w:rPr>
          <w:rFonts w:ascii="ARIAL" w:hAnsi="ARIAL"/>
          <w:b/>
          <w:sz w:val="22"/>
        </w:rPr>
        <w:t>Annual Meeting</w:t>
      </w:r>
      <w:r>
        <w:rPr>
          <w:rFonts w:ascii="ARIAL" w:hAnsi="ARIAL"/>
          <w:sz w:val="22"/>
        </w:rPr>
        <w:t>”) of Newell Brands Inc. (“</w:t>
      </w:r>
      <w:r>
        <w:rPr>
          <w:rFonts w:ascii="ARIAL" w:hAnsi="ARIAL"/>
          <w:b/>
          <w:sz w:val="22"/>
        </w:rPr>
        <w:t>Newell</w:t>
      </w:r>
      <w:r>
        <w:rPr>
          <w:rFonts w:ascii="ARIAL" w:hAnsi="ARIAL"/>
          <w:sz w:val="22"/>
        </w:rPr>
        <w:t>” or the “</w:t>
      </w:r>
      <w:r>
        <w:rPr>
          <w:rFonts w:ascii="ARIAL" w:hAnsi="ARIAL"/>
          <w:b/>
          <w:sz w:val="22"/>
        </w:rPr>
        <w:t>Company</w:t>
      </w:r>
      <w:r>
        <w:rPr>
          <w:rFonts w:ascii="ARIAL" w:hAnsi="ARIAL"/>
          <w:sz w:val="22"/>
        </w:rPr>
        <w:t xml:space="preserve">”) to be held in an in-person meeting format, at 9:00 a.m., Eastern Time, on May 7, 2026 at The Westin Atlanta Perimeter North, 7 Concourse Parkway, NE, Atlanta, Georgia 30328. </w:t>
      </w:r>
    </w:p>
    <w:p>
      <w:pPr>
        <w:pStyle w:val="TextBody"/>
        <w:bidi w:val="0"/>
        <w:spacing w:before="240" w:after="0"/>
        <w:jc w:val="both"/>
        <w:rPr>
          <w:rFonts w:ascii="ARIAL" w:hAnsi="ARIAL"/>
          <w:sz w:val="22"/>
        </w:rPr>
      </w:pPr>
      <w:r>
        <w:rPr>
          <w:rFonts w:ascii="ARIAL" w:hAnsi="ARIAL"/>
          <w:sz w:val="22"/>
        </w:rPr>
        <w:t>Proxy materials or a Notice of Internet Availability of Proxy Materials (the “</w:t>
      </w:r>
      <w:r>
        <w:rPr>
          <w:rFonts w:ascii="ARIAL" w:hAnsi="ARIAL"/>
          <w:b/>
          <w:sz w:val="22"/>
        </w:rPr>
        <w:t>Notice</w:t>
      </w:r>
      <w:r>
        <w:rPr>
          <w:rFonts w:ascii="ARIAL" w:hAnsi="ARIAL"/>
          <w:sz w:val="22"/>
        </w:rPr>
        <w:t>”) are being first released or mailed to stockholders on or about March 26, 2026. In accordance with rules and regulations adopted by the U.S. Securities and Exchange Commission (the “</w:t>
      </w:r>
      <w:r>
        <w:rPr>
          <w:rFonts w:ascii="ARIAL" w:hAnsi="ARIAL"/>
          <w:b/>
          <w:sz w:val="22"/>
        </w:rPr>
        <w:t>SEC</w:t>
      </w:r>
      <w:r>
        <w:rPr>
          <w:rFonts w:ascii="ARIAL" w:hAnsi="ARIAL"/>
          <w:sz w:val="22"/>
        </w:rPr>
        <w:t xml:space="preserve">”), the Company may furnish proxy materials by providing Internet access to those documents, instead of mailing a printed copy of the Company’s proxy materials to each stockholder of record. The Notice contains instructions on how to access our proxy materials and vote online, or alternatively, request a paper copy of the proxy materials and a proxy card. </w:t>
      </w:r>
    </w:p>
    <w:p>
      <w:pPr>
        <w:pStyle w:val="TextBody"/>
        <w:bidi w:val="0"/>
        <w:spacing w:before="240" w:after="0"/>
        <w:jc w:val="center"/>
        <w:rPr>
          <w:rFonts w:ascii="ARIAL" w:hAnsi="ARIAL"/>
          <w:b/>
          <w:sz w:val="22"/>
        </w:rPr>
      </w:pPr>
      <w:bookmarkStart w:id="3" w:name="toc52719_1"/>
      <w:bookmarkEnd w:id="3"/>
      <w:r>
        <w:rPr>
          <w:rFonts w:ascii="ARIAL" w:hAnsi="ARIAL"/>
          <w:b/>
          <w:sz w:val="22"/>
        </w:rPr>
        <w:t xml:space="preserve">QUESTIONS AND ANSWERS ABOUT </w:t>
      </w:r>
    </w:p>
    <w:p>
      <w:pPr>
        <w:pStyle w:val="TextBody"/>
        <w:bidi w:val="0"/>
        <w:spacing w:before="0" w:after="0"/>
        <w:jc w:val="center"/>
        <w:rPr>
          <w:rFonts w:ascii="ARIAL" w:hAnsi="ARIAL"/>
          <w:b/>
          <w:sz w:val="22"/>
        </w:rPr>
      </w:pPr>
      <w:r>
        <w:rPr>
          <w:rFonts w:ascii="ARIAL" w:hAnsi="ARIAL"/>
          <w:b/>
          <w:sz w:val="22"/>
        </w:rPr>
        <w:t xml:space="preserve">VOTING AT THE ANNUAL MEETING AND RELATED MATTERS </w:t>
      </w:r>
    </w:p>
    <w:p>
      <w:pPr>
        <w:pStyle w:val="TextBody"/>
        <w:bidi w:val="0"/>
        <w:spacing w:before="240" w:after="0"/>
        <w:jc w:val="left"/>
        <w:rPr>
          <w:rFonts w:ascii="ARIAL" w:hAnsi="ARIAL"/>
          <w:b/>
          <w:i/>
          <w:sz w:val="22"/>
        </w:rPr>
      </w:pPr>
      <w:r>
        <w:rPr>
          <w:rFonts w:ascii="ARIAL" w:hAnsi="ARIAL"/>
          <w:b/>
          <w:i/>
          <w:sz w:val="22"/>
        </w:rPr>
        <w:t xml:space="preserve">What matters will be presented at the Annual Meeting? </w:t>
      </w:r>
    </w:p>
    <w:p>
      <w:pPr>
        <w:pStyle w:val="TextBody"/>
        <w:bidi w:val="0"/>
        <w:spacing w:before="240" w:after="0"/>
        <w:jc w:val="both"/>
        <w:rPr>
          <w:rFonts w:ascii="ARIAL" w:hAnsi="ARIAL"/>
          <w:sz w:val="22"/>
        </w:rPr>
      </w:pPr>
      <w:r>
        <w:rPr>
          <w:rFonts w:ascii="ARIAL" w:hAnsi="ARIAL"/>
          <w:sz w:val="22"/>
        </w:rPr>
        <w:t xml:space="preserve">The following proposals will be voted on by stockholders at the Annual Meeting: </w:t>
      </w:r>
    </w:p>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70"/>
        <w:gridCol w:w="60"/>
        <w:gridCol w:w="8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both"/>
              <w:rPr>
                <w:rFonts w:ascii="ARIAL" w:hAnsi="ARIAL"/>
                <w:sz w:val="22"/>
              </w:rPr>
            </w:pPr>
            <w:r>
              <w:rPr>
                <w:rFonts w:ascii="ARIAL" w:hAnsi="ARIAL"/>
                <w:b/>
                <w:sz w:val="22"/>
              </w:rPr>
              <w:t xml:space="preserve">Proposal 1 </w:t>
            </w:r>
            <w:r>
              <w:rPr>
                <w:rFonts w:ascii="ARIAL" w:hAnsi="ARIAL"/>
                <w:sz w:val="22"/>
              </w:rPr>
              <w:t xml:space="preserve">- Elect eight directors of the Company nominated by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sz w:val="22"/>
              </w:rPr>
              <w:t xml:space="preserve">Proposal 2 </w:t>
            </w:r>
            <w:r>
              <w:rPr>
                <w:rFonts w:ascii="ARIAL" w:hAnsi="ARIAL"/>
                <w:sz w:val="22"/>
              </w:rPr>
              <w:t xml:space="preserve">- Vote to approve the appointment of PricewaterhouseCoopers LLP as the Company’s independent registered public accounting firm for the fiscal year ending December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sz w:val="22"/>
              </w:rPr>
              <w:t xml:space="preserve">Proposal 3 </w:t>
            </w:r>
            <w:r>
              <w:rPr>
                <w:rFonts w:ascii="ARIAL" w:hAnsi="ARIAL"/>
                <w:sz w:val="22"/>
              </w:rPr>
              <w:t>- Vote to approve an advisory resolution on named executive officer compensation (“</w:t>
            </w:r>
            <w:r>
              <w:rPr>
                <w:rFonts w:ascii="ARIAL" w:hAnsi="ARIAL"/>
                <w:b/>
                <w:sz w:val="22"/>
              </w:rPr>
              <w:t>Say on Pay</w:t>
            </w:r>
            <w:r>
              <w:rPr>
                <w:rFonts w:ascii="ARIAL" w:hAnsi="ARIAL"/>
                <w:sz w:val="22"/>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sz w:val="22"/>
              </w:rPr>
              <w:t>Proposal 4 -</w:t>
            </w:r>
            <w:r>
              <w:rPr>
                <w:rFonts w:ascii="ARIAL" w:hAnsi="ARIAL"/>
                <w:sz w:val="22"/>
              </w:rPr>
              <w:t> Vote to approve the Newell Brands Inc. 2026 Incentive Plan (the “</w:t>
            </w:r>
            <w:r>
              <w:rPr>
                <w:rFonts w:ascii="ARIAL" w:hAnsi="ARIAL"/>
                <w:b/>
                <w:sz w:val="22"/>
              </w:rPr>
              <w:t>2026 Incentive Plan</w:t>
            </w:r>
            <w:r>
              <w:rPr>
                <w:rFonts w:ascii="ARIAL" w:hAnsi="ARIAL"/>
                <w:sz w:val="22"/>
              </w:rPr>
              <w:t xml:space="preserve">”). </w:t>
            </w:r>
          </w:p>
        </w:tc>
      </w:tr>
    </w:tbl>
    <w:p>
      <w:pPr>
        <w:pStyle w:val="TextBody"/>
        <w:bidi w:val="0"/>
        <w:spacing w:before="360" w:after="0"/>
        <w:jc w:val="left"/>
        <w:rPr>
          <w:rFonts w:ascii="ARIAL" w:hAnsi="ARIAL"/>
          <w:b/>
          <w:i/>
          <w:sz w:val="22"/>
        </w:rPr>
      </w:pPr>
      <w:r>
        <w:rPr>
          <w:rFonts w:ascii="ARIAL" w:hAnsi="ARIAL"/>
          <w:b/>
          <w:i/>
          <w:sz w:val="22"/>
        </w:rPr>
        <w:t xml:space="preserve">Who is entitled to vote at the Annual Meeting? </w:t>
      </w:r>
    </w:p>
    <w:p>
      <w:pPr>
        <w:pStyle w:val="TextBody"/>
        <w:bidi w:val="0"/>
        <w:spacing w:before="240" w:after="0"/>
        <w:jc w:val="both"/>
        <w:rPr>
          <w:rFonts w:ascii="ARIAL" w:hAnsi="ARIAL"/>
          <w:sz w:val="22"/>
        </w:rPr>
      </w:pPr>
      <w:r>
        <w:rPr>
          <w:rFonts w:ascii="ARIAL" w:hAnsi="ARIAL"/>
          <w:sz w:val="22"/>
        </w:rPr>
        <w:t xml:space="preserve">Record holders of the Company’s common stock at the close of business on March 12, 2026 are entitled to notice of, and to vote at, the Annual Meeting. On the record date, approximately 424,927,772 shares of common stock were issued and eligible to vote. A list of stockholders entitled to vote at the Annual Meeting will be available during our regular business hours at Newell Brands Inc., 5 Concourse Parkway, NE, 8th Floor, Atlanta,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Georgia 30328 for the ten days prior to the Annual Meeting and will also be available at the Annual Meeting. </w:t>
      </w:r>
    </w:p>
    <w:p>
      <w:pPr>
        <w:pStyle w:val="TextBody"/>
        <w:bidi w:val="0"/>
        <w:spacing w:before="360" w:after="0"/>
        <w:jc w:val="left"/>
        <w:rPr>
          <w:rFonts w:ascii="ARIAL" w:hAnsi="ARIAL"/>
          <w:b/>
          <w:i/>
          <w:sz w:val="22"/>
        </w:rPr>
      </w:pPr>
      <w:r>
        <w:rPr>
          <w:rFonts w:ascii="ARIAL" w:hAnsi="ARIAL"/>
          <w:b/>
          <w:i/>
          <w:sz w:val="22"/>
        </w:rPr>
        <w:t xml:space="preserve">What constitutes a quorum for the Annual Meeting? </w:t>
      </w:r>
    </w:p>
    <w:p>
      <w:pPr>
        <w:pStyle w:val="TextBody"/>
        <w:bidi w:val="0"/>
        <w:spacing w:before="240" w:after="0"/>
        <w:jc w:val="both"/>
        <w:rPr>
          <w:rFonts w:ascii="ARIAL" w:hAnsi="ARIAL"/>
          <w:sz w:val="22"/>
        </w:rPr>
      </w:pPr>
      <w:r>
        <w:rPr>
          <w:rFonts w:ascii="ARIAL" w:hAnsi="ARIAL"/>
          <w:sz w:val="22"/>
        </w:rPr>
        <w:t xml:space="preserve">A quorum of stockholders is necessary to take action at the Annual Meeting. A majority of the outstanding shares of common stock of the Company, present in person or by proxy, will constitute a quorum. </w:t>
      </w:r>
    </w:p>
    <w:p>
      <w:pPr>
        <w:pStyle w:val="TextBody"/>
        <w:bidi w:val="0"/>
        <w:spacing w:before="360" w:after="0"/>
        <w:jc w:val="left"/>
        <w:rPr>
          <w:rFonts w:ascii="ARIAL" w:hAnsi="ARIAL"/>
          <w:b/>
          <w:i/>
          <w:sz w:val="22"/>
        </w:rPr>
      </w:pPr>
      <w:r>
        <w:rPr>
          <w:rFonts w:ascii="ARIAL" w:hAnsi="ARIAL"/>
          <w:b/>
          <w:i/>
          <w:sz w:val="22"/>
        </w:rPr>
        <w:t xml:space="preserve">Who will count the votes? </w:t>
      </w:r>
    </w:p>
    <w:p>
      <w:pPr>
        <w:pStyle w:val="TextBody"/>
        <w:bidi w:val="0"/>
        <w:spacing w:before="240" w:after="0"/>
        <w:jc w:val="both"/>
        <w:rPr>
          <w:rFonts w:ascii="ARIAL" w:hAnsi="ARIAL"/>
          <w:sz w:val="22"/>
        </w:rPr>
      </w:pPr>
      <w:r>
        <w:rPr>
          <w:rFonts w:ascii="ARIAL" w:hAnsi="ARIAL"/>
          <w:sz w:val="22"/>
        </w:rPr>
        <w:t>Representatives from Broadridge Financial Solutions, Inc. (“</w:t>
      </w:r>
      <w:r>
        <w:rPr>
          <w:rFonts w:ascii="ARIAL" w:hAnsi="ARIAL"/>
          <w:b/>
          <w:sz w:val="22"/>
        </w:rPr>
        <w:t>Broadridge</w:t>
      </w:r>
      <w:r>
        <w:rPr>
          <w:rFonts w:ascii="ARIAL" w:hAnsi="ARIAL"/>
          <w:sz w:val="22"/>
        </w:rPr>
        <w:t xml:space="preserve">”) will tabulate the votes and act as an independent inspector of election for the Annual Meeting. </w:t>
      </w:r>
    </w:p>
    <w:p>
      <w:pPr>
        <w:pStyle w:val="TextBody"/>
        <w:bidi w:val="0"/>
        <w:spacing w:before="240" w:after="0"/>
        <w:jc w:val="both"/>
        <w:rPr>
          <w:rFonts w:ascii="ARIAL" w:hAnsi="ARIAL"/>
          <w:sz w:val="22"/>
        </w:rPr>
      </w:pPr>
      <w:r>
        <w:rPr>
          <w:rFonts w:ascii="ARIAL" w:hAnsi="ARIAL"/>
          <w:sz w:val="22"/>
        </w:rPr>
        <w:t xml:space="preserve">As the independent inspector of election, Broadridge will determine whether a quorum is present at the Annual Meeting. Broadridge will treat instructions to withhold authority, abstentions and broker non-votes as present for purposes of determining the presence of a quorum. In the event that a quorum is not present at the Annual Meeting, the Company expects that the Annual Meeting will be adjourned to solicit additional proxies. </w:t>
      </w:r>
    </w:p>
    <w:p>
      <w:pPr>
        <w:pStyle w:val="TextBody"/>
        <w:bidi w:val="0"/>
        <w:spacing w:before="360" w:after="0"/>
        <w:jc w:val="left"/>
        <w:rPr>
          <w:rFonts w:ascii="ARIAL" w:hAnsi="ARIAL"/>
          <w:b/>
          <w:i/>
          <w:sz w:val="22"/>
        </w:rPr>
      </w:pPr>
      <w:r>
        <w:rPr>
          <w:rFonts w:ascii="ARIAL" w:hAnsi="ARIAL"/>
          <w:b/>
          <w:i/>
          <w:sz w:val="22"/>
        </w:rPr>
        <w:t xml:space="preserve">How are votes counted? </w:t>
      </w:r>
    </w:p>
    <w:p>
      <w:pPr>
        <w:pStyle w:val="TextBody"/>
        <w:bidi w:val="0"/>
        <w:spacing w:before="240" w:after="0"/>
        <w:jc w:val="both"/>
        <w:rPr>
          <w:rFonts w:ascii="ARIAL" w:hAnsi="ARIAL"/>
          <w:sz w:val="22"/>
        </w:rPr>
      </w:pPr>
      <w:r>
        <w:rPr>
          <w:rFonts w:ascii="ARIAL" w:hAnsi="ARIAL"/>
          <w:sz w:val="22"/>
        </w:rPr>
        <w:t>You are entitled to one vote for each share you own on the record date on the election of directors and each proposal to be considered at the Annual Meeting. If your common stock is held in “street name” (i.e., in the name of a bank, broker or other record holder), you will need to instruct your broker or bank regarding how to vote your common stock. Pursuant to the Nasdaq Stock Market LLC (“</w:t>
      </w:r>
      <w:r>
        <w:rPr>
          <w:rFonts w:ascii="ARIAL" w:hAnsi="ARIAL"/>
          <w:b/>
          <w:sz w:val="22"/>
        </w:rPr>
        <w:t>Nasdaq</w:t>
      </w:r>
      <w:r>
        <w:rPr>
          <w:rFonts w:ascii="ARIAL" w:hAnsi="ARIAL"/>
          <w:sz w:val="22"/>
        </w:rPr>
        <w:t xml:space="preserve">”) rules, your broker or bank does not have discretion to vote your common stock without your instructions for any of the proposals other than the approval of Proposal 2 (relating to the appointment of PricewaterhouseCoopers LLP as the Company’s independent registered public accounting firm for the fiscal year ending December 31, 2026). </w:t>
      </w:r>
    </w:p>
    <w:p>
      <w:pPr>
        <w:pStyle w:val="TextBody"/>
        <w:bidi w:val="0"/>
        <w:spacing w:before="240" w:after="0"/>
        <w:jc w:val="both"/>
        <w:rPr>
          <w:rFonts w:ascii="ARIAL" w:hAnsi="ARIAL"/>
          <w:sz w:val="22"/>
        </w:rPr>
      </w:pPr>
      <w:r>
        <w:rPr>
          <w:rFonts w:ascii="ARIAL" w:hAnsi="ARIAL"/>
          <w:sz w:val="22"/>
        </w:rPr>
        <w:t>If you do not provide your broker or bank with voting instructions, your shares of common stock will not be considered entitled to vote at the Annual Meeting on Proposal 1 (relating to the election of directors), Proposal 3 (relating to the approval of Say on Pay), or Proposal 4 (relating to the approval of the 2026 Incentive Plan) (this is also known as “</w:t>
      </w:r>
      <w:r>
        <w:rPr>
          <w:rFonts w:ascii="ARIAL" w:hAnsi="ARIAL"/>
          <w:b/>
          <w:sz w:val="22"/>
        </w:rPr>
        <w:t>broker non-votes</w:t>
      </w:r>
      <w:r>
        <w:rPr>
          <w:rFonts w:ascii="ARIAL" w:hAnsi="ARIAL"/>
          <w:sz w:val="22"/>
        </w:rPr>
        <w:t xml:space="preserve">”), and the broker non-votes will have no effect on these proposals. If you do not provide your broker or bank with voting instructions, they may choose how to vote your shares on Proposal 2 (relating to the appointment of PricewaterhouseCoopers LLP as the Company’s independent registered public accounting firm for the fiscal year ending December 31, 2026). </w:t>
      </w:r>
    </w:p>
    <w:p>
      <w:pPr>
        <w:pStyle w:val="TextBody"/>
        <w:bidi w:val="0"/>
        <w:spacing w:before="360" w:after="0"/>
        <w:jc w:val="left"/>
        <w:rPr>
          <w:rFonts w:ascii="ARIAL" w:hAnsi="ARIAL"/>
          <w:b/>
          <w:i/>
          <w:sz w:val="22"/>
        </w:rPr>
      </w:pPr>
      <w:r>
        <w:rPr>
          <w:rFonts w:ascii="ARIAL" w:hAnsi="ARIAL"/>
          <w:b/>
          <w:i/>
          <w:sz w:val="22"/>
        </w:rPr>
        <w:t xml:space="preserve">How many votes are required to elect a director or approve a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i/>
                <w:sz w:val="22"/>
                <w:u w:val="single"/>
              </w:rPr>
              <w:t>Election of Directors.</w:t>
            </w:r>
            <w:r>
              <w:rPr>
                <w:rFonts w:ascii="ARIAL" w:hAnsi="ARIAL"/>
                <w:sz w:val="22"/>
              </w:rPr>
              <w:t xml:space="preserve"> Each director receiving a majority of votes cast with respect to that director’s election (number of shares voted “for” a director must exceed the number of votes cast “against” that director) will be elected as a director. Broker non-votes, shares not present, shares not voting and shares voting “abstain” will have no effect on the election of directors.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i/>
                <w:sz w:val="22"/>
                <w:u w:val="single"/>
              </w:rPr>
              <w:t>Approval of the Appointment of PricewaterhouseCoopers LLP, Approval of Say on Pay, Approval of the 2026 Incentive Plan and Any Other Proposals.</w:t>
            </w:r>
            <w:r>
              <w:rPr>
                <w:rFonts w:ascii="ARIAL" w:hAnsi="ARIAL"/>
                <w:sz w:val="22"/>
              </w:rPr>
              <w:t xml:space="preserve"> The vote required for the approval of Proposal 2, Proposal 3, Proposal 4, and any other proposal that may properly come before the Annual Meeting or any adjournment or postponement of the meeting is the affirmative vote of a majority of the shares of common stock present in person or by proxy and entitled to vote on the subject matter of the proposal. With respect to any of these proposals, you may vote in favor of or against the item, or you may abstain from voting. Any proxy marked “abstain” with respect to a proposal will have the effect of a vote against such proposal. Broker non-votes will have no effect on the approval of Proposal 3 and Proposal 4, and shares not present will also have no effect on any of these proposals. </w:t>
            </w:r>
          </w:p>
        </w:tc>
      </w:tr>
    </w:tbl>
    <w:p>
      <w:pPr>
        <w:pStyle w:val="TextBody"/>
        <w:bidi w:val="0"/>
        <w:spacing w:before="360" w:after="0"/>
        <w:jc w:val="left"/>
        <w:rPr>
          <w:rFonts w:ascii="ARIAL" w:hAnsi="ARIAL"/>
          <w:b/>
          <w:i/>
          <w:sz w:val="22"/>
        </w:rPr>
      </w:pPr>
      <w:r>
        <w:rPr>
          <w:rFonts w:ascii="ARIAL" w:hAnsi="ARIAL"/>
          <w:b/>
          <w:i/>
          <w:sz w:val="22"/>
        </w:rPr>
        <w:t xml:space="preserve">How do I vote my shares? </w:t>
      </w:r>
    </w:p>
    <w:p>
      <w:pPr>
        <w:pStyle w:val="TextBody"/>
        <w:bidi w:val="0"/>
        <w:spacing w:before="240" w:after="0"/>
        <w:jc w:val="both"/>
        <w:rPr>
          <w:rFonts w:ascii="ARIAL" w:hAnsi="ARIAL"/>
          <w:sz w:val="22"/>
        </w:rPr>
      </w:pPr>
      <w:r>
        <w:rPr>
          <w:rFonts w:ascii="ARIAL" w:hAnsi="ARIAL"/>
          <w:sz w:val="22"/>
        </w:rPr>
        <w:t xml:space="preserve">You may attend the Annual Meeting and vote your shares at that time. You also may choose to submit your proxies by any of the following methods: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i/>
                <w:sz w:val="22"/>
                <w:u w:val="single"/>
              </w:rPr>
              <w:t>Voting by Mail.</w:t>
            </w:r>
            <w:r>
              <w:rPr>
                <w:rFonts w:ascii="ARIAL" w:hAnsi="ARIAL"/>
                <w:sz w:val="22"/>
              </w:rPr>
              <w:t xml:space="preserve"> All stockholders of record can vote by written proxy card. If you are a stockholder of record and receive a Notice, you may request a written proxy card by following the instructions included in the Notice. Your shares will be voted in accordance with the instructions on your proxy card. If you sign your proxy card and return it without marking any voting instructions, your shares will be voted, as recommended by the Board of Directors (the “</w:t>
            </w:r>
            <w:r>
              <w:rPr>
                <w:rFonts w:ascii="ARIAL" w:hAnsi="ARIAL"/>
                <w:b/>
                <w:sz w:val="22"/>
              </w:rPr>
              <w:t>Board</w:t>
            </w:r>
            <w:r>
              <w:rPr>
                <w:rFonts w:ascii="ARIAL" w:hAnsi="ARIAL"/>
                <w:sz w:val="22"/>
              </w:rPr>
              <w:t xml:space="preserve">”). For additional information, please see the caption “— </w:t>
            </w:r>
            <w:r>
              <w:rPr>
                <w:rFonts w:ascii="ARIAL" w:hAnsi="ARIAL"/>
                <w:i/>
                <w:sz w:val="22"/>
              </w:rPr>
              <w:t>How will my shares be voted?</w:t>
            </w:r>
            <w:r>
              <w:rPr>
                <w:rFonts w:ascii="ARIAL" w:hAnsi="ARIAL"/>
                <w:sz w:val="22"/>
              </w:rPr>
              <w:t xml:space="preserv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i/>
                <w:sz w:val="22"/>
                <w:u w:val="single"/>
              </w:rPr>
              <w:t>Voting by Internet.</w:t>
            </w:r>
            <w:r>
              <w:rPr>
                <w:rFonts w:ascii="ARIAL" w:hAnsi="ARIAL"/>
                <w:sz w:val="22"/>
              </w:rPr>
              <w:t xml:space="preserve"> You also may vote through the Internet by signing on to the website included in the Notice and following the procedures described on the website. Internet voting is available 24 hours a day, and the procedures are designed to authenticate votes cast by using a personal identification number that is included in the Notice. The procedures permit you to give a proxy to vote your shares and to confirm that your instructions have been properly recorded. If you vote by Internet, you should not return a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i/>
                <w:sz w:val="22"/>
                <w:u w:val="single"/>
              </w:rPr>
              <w:t>Voting by Telephone.</w:t>
            </w:r>
            <w:r>
              <w:rPr>
                <w:rFonts w:ascii="ARIAL" w:hAnsi="ARIAL"/>
                <w:sz w:val="22"/>
              </w:rPr>
              <w:t xml:space="preserve"> You may vote your shares by telephone by calling the toll-free telephone number provided on the proxy card, which can be viewed online by following the instructions in the Notice, or you may request a written proxy card by following the instructions included in the Notice. Telephone voting is available 24 hours a day, and the procedures are designed to authenticate votes cast by using a personal identification number located on the Notice. The procedures permit you to give a proxy to vote your shares and to confirm that your instructions have been properly recorded. If you vote by telephone, you should not return a proxy card. </w:t>
            </w:r>
          </w:p>
        </w:tc>
      </w:tr>
    </w:tbl>
    <w:p>
      <w:pPr>
        <w:pStyle w:val="TextBody"/>
        <w:bidi w:val="0"/>
        <w:spacing w:before="240" w:after="0"/>
        <w:jc w:val="both"/>
        <w:rPr>
          <w:rFonts w:ascii="ARIAL" w:hAnsi="ARIAL"/>
          <w:sz w:val="22"/>
        </w:rPr>
      </w:pPr>
      <w:r>
        <w:rPr>
          <w:rFonts w:ascii="ARIAL" w:hAnsi="ARIAL"/>
          <w:sz w:val="22"/>
        </w:rPr>
        <w:t xml:space="preserve">If you are a stockholder whose shares are held in “street name,” you must either direct the record holder of your shares how to vote your shares or obtain a proxy, executed in your favor, from the record holder to be able to vote at the Annual Meeting.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This Proxy Statement is also being used to solicit voting instructions for the shares of the Company’s common stock held by the trustee of the Newell Brands Employee Savings Plan for the benefit of plan participants. Participants in this plan have the right to direct the trustee regarding how to vote the shares of Company stock credited to their accounts. Unless otherwise required by law, the shares credited to each participant’s account will be voted as directed. Participants in this plan may direct the trustee by telephone, through the Internet or by requesting, completing and returning a voting card. If valid instructions are not received from a Newell Brands Employee Savings Plan participant by 11:59 p.m., Eastern Time, on May 4, 2026, a participant’s shares will be voted proportionately by the trustee in the same manner in which the trustee votes all shares for which it has received valid instructions. </w:t>
      </w:r>
    </w:p>
    <w:p>
      <w:pPr>
        <w:pStyle w:val="TextBody"/>
        <w:bidi w:val="0"/>
        <w:spacing w:before="360" w:after="0"/>
        <w:jc w:val="left"/>
        <w:rPr>
          <w:rFonts w:ascii="ARIAL" w:hAnsi="ARIAL"/>
          <w:b/>
          <w:i/>
          <w:sz w:val="22"/>
        </w:rPr>
      </w:pPr>
      <w:r>
        <w:rPr>
          <w:rFonts w:ascii="ARIAL" w:hAnsi="ARIAL"/>
          <w:b/>
          <w:i/>
          <w:sz w:val="22"/>
        </w:rPr>
        <w:t xml:space="preserve">How may I revoke or change my vote? </w:t>
      </w:r>
    </w:p>
    <w:p>
      <w:pPr>
        <w:pStyle w:val="TextBody"/>
        <w:bidi w:val="0"/>
        <w:spacing w:before="240" w:after="0"/>
        <w:jc w:val="both"/>
        <w:rPr>
          <w:rFonts w:ascii="ARIAL" w:hAnsi="ARIAL"/>
          <w:sz w:val="22"/>
        </w:rPr>
      </w:pPr>
      <w:r>
        <w:rPr>
          <w:rFonts w:ascii="ARIAL" w:hAnsi="ARIAL"/>
          <w:sz w:val="22"/>
        </w:rPr>
        <w:t xml:space="preserve">You may revoke your proxy at any time before it is voted at the Annual Meeting by any of the following methods: </w:t>
      </w:r>
    </w:p>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70"/>
        <w:gridCol w:w="6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both"/>
              <w:rPr>
                <w:rFonts w:ascii="ARIAL" w:hAnsi="ARIAL"/>
                <w:sz w:val="22"/>
              </w:rPr>
            </w:pPr>
            <w:r>
              <w:rPr>
                <w:rFonts w:ascii="ARIAL" w:hAnsi="ARIAL"/>
                <w:sz w:val="22"/>
              </w:rPr>
              <w:t xml:space="preserve">Submitting a later-dated proxy by 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Mailing a written notice to the Corporate Secretary of the Company. You must send any written notice of a revocation of a proxy so that it is received before the taking of the vote at the Annual Meeting to: </w:t>
            </w:r>
          </w:p>
        </w:tc>
      </w:tr>
    </w:tbl>
    <w:p>
      <w:pPr>
        <w:pStyle w:val="TextBody"/>
        <w:bidi w:val="0"/>
        <w:spacing w:before="240" w:after="0"/>
        <w:jc w:val="center"/>
        <w:rPr>
          <w:rFonts w:ascii="ARIAL" w:hAnsi="ARIAL"/>
          <w:sz w:val="22"/>
        </w:rPr>
      </w:pPr>
      <w:r>
        <w:rPr>
          <w:rFonts w:ascii="ARIAL" w:hAnsi="ARIAL"/>
          <w:sz w:val="22"/>
        </w:rPr>
        <w:t xml:space="preserve">Newell Brands Inc. </w:t>
      </w:r>
    </w:p>
    <w:p>
      <w:pPr>
        <w:pStyle w:val="TextBody"/>
        <w:bidi w:val="0"/>
        <w:spacing w:before="0" w:after="0"/>
        <w:jc w:val="center"/>
        <w:rPr>
          <w:rFonts w:ascii="ARIAL" w:hAnsi="ARIAL"/>
          <w:sz w:val="22"/>
        </w:rPr>
      </w:pPr>
      <w:r>
        <w:rPr>
          <w:rFonts w:ascii="ARIAL" w:hAnsi="ARIAL"/>
          <w:sz w:val="22"/>
        </w:rPr>
        <w:t xml:space="preserve">5 Concourse Parkway, NE </w:t>
      </w:r>
    </w:p>
    <w:p>
      <w:pPr>
        <w:pStyle w:val="TextBody"/>
        <w:bidi w:val="0"/>
        <w:spacing w:before="0" w:after="0"/>
        <w:jc w:val="center"/>
        <w:rPr>
          <w:rFonts w:ascii="ARIAL" w:hAnsi="ARIAL"/>
          <w:sz w:val="22"/>
        </w:rPr>
      </w:pPr>
      <w:r>
        <w:rPr>
          <w:rFonts w:ascii="ARIAL" w:hAnsi="ARIAL"/>
          <w:sz w:val="22"/>
        </w:rPr>
        <w:t xml:space="preserve">8th Floor </w:t>
      </w:r>
    </w:p>
    <w:p>
      <w:pPr>
        <w:pStyle w:val="TextBody"/>
        <w:bidi w:val="0"/>
        <w:spacing w:before="0" w:after="0"/>
        <w:jc w:val="center"/>
        <w:rPr>
          <w:rFonts w:ascii="ARIAL" w:hAnsi="ARIAL"/>
          <w:sz w:val="22"/>
        </w:rPr>
      </w:pPr>
      <w:r>
        <w:rPr>
          <w:rFonts w:ascii="ARIAL" w:hAnsi="ARIAL"/>
          <w:sz w:val="22"/>
        </w:rPr>
        <w:t xml:space="preserve">Atlanta, Georgia 30328 </w:t>
      </w:r>
    </w:p>
    <w:p>
      <w:pPr>
        <w:pStyle w:val="TextBody"/>
        <w:bidi w:val="0"/>
        <w:spacing w:before="0" w:after="0"/>
        <w:jc w:val="center"/>
        <w:rPr>
          <w:rFonts w:ascii="ARIAL" w:hAnsi="ARIAL"/>
          <w:sz w:val="22"/>
        </w:rPr>
      </w:pPr>
      <w:r>
        <w:rPr>
          <w:rFonts w:ascii="ARIAL" w:hAnsi="ARIAL"/>
          <w:sz w:val="22"/>
        </w:rPr>
        <w:t xml:space="preserve">Attention: Corporate Secretary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Attending the Annual Meeting and voting in person. Your attendance at the Annual Meeting will not in and of itself revoke your proxy. You must also vote your shares at the Annual Meeting. If your shares are held in “street name” by a bank, broker or other record holder, you must obtain a proxy, executed in your favor, from the record holder to be able to vote at the Annual Meeting. </w:t>
            </w:r>
          </w:p>
        </w:tc>
      </w:tr>
    </w:tbl>
    <w:p>
      <w:pPr>
        <w:pStyle w:val="TextBody"/>
        <w:bidi w:val="0"/>
        <w:spacing w:before="240" w:after="0"/>
        <w:jc w:val="both"/>
        <w:rPr>
          <w:rFonts w:ascii="ARIAL" w:hAnsi="ARIAL"/>
          <w:sz w:val="22"/>
        </w:rPr>
      </w:pPr>
      <w:r>
        <w:rPr>
          <w:rFonts w:ascii="ARIAL" w:hAnsi="ARIAL"/>
          <w:sz w:val="22"/>
        </w:rPr>
        <w:t xml:space="preserve">If you require assistance in changing or revoking your proxy, please contact the Company’s proxy solicitor: </w:t>
      </w:r>
    </w:p>
    <w:p>
      <w:pPr>
        <w:pStyle w:val="TextBody"/>
        <w:bidi w:val="0"/>
        <w:spacing w:before="240" w:after="0"/>
        <w:jc w:val="center"/>
        <w:rPr>
          <w:rFonts w:ascii="ARIAL" w:hAnsi="ARIAL"/>
          <w:sz w:val="22"/>
        </w:rPr>
      </w:pPr>
      <w:r>
        <w:rPr>
          <w:rFonts w:ascii="ARIAL" w:hAnsi="ARIAL"/>
          <w:sz w:val="22"/>
        </w:rPr>
        <w:t xml:space="preserve">Sodali &amp; Co </w:t>
      </w:r>
    </w:p>
    <w:p>
      <w:pPr>
        <w:pStyle w:val="TextBody"/>
        <w:bidi w:val="0"/>
        <w:spacing w:before="0" w:after="0"/>
        <w:jc w:val="center"/>
        <w:rPr>
          <w:rFonts w:ascii="ARIAL" w:hAnsi="ARIAL"/>
          <w:sz w:val="22"/>
        </w:rPr>
      </w:pPr>
      <w:r>
        <w:rPr>
          <w:rFonts w:ascii="ARIAL" w:hAnsi="ARIAL"/>
          <w:sz w:val="22"/>
        </w:rPr>
        <w:t xml:space="preserve">333 Ludlow Street </w:t>
      </w:r>
    </w:p>
    <w:p>
      <w:pPr>
        <w:pStyle w:val="TextBody"/>
        <w:bidi w:val="0"/>
        <w:spacing w:before="0" w:after="0"/>
        <w:jc w:val="center"/>
        <w:rPr>
          <w:rFonts w:ascii="ARIAL" w:hAnsi="ARIAL"/>
          <w:sz w:val="22"/>
        </w:rPr>
      </w:pPr>
      <w:r>
        <w:rPr>
          <w:rFonts w:ascii="ARIAL" w:hAnsi="ARIAL"/>
          <w:sz w:val="22"/>
        </w:rPr>
        <w:t xml:space="preserve">5th Floor, South Tower </w:t>
      </w:r>
    </w:p>
    <w:p>
      <w:pPr>
        <w:pStyle w:val="TextBody"/>
        <w:bidi w:val="0"/>
        <w:spacing w:before="0" w:after="0"/>
        <w:jc w:val="center"/>
        <w:rPr>
          <w:rFonts w:ascii="ARIAL" w:hAnsi="ARIAL"/>
          <w:sz w:val="22"/>
        </w:rPr>
      </w:pPr>
      <w:r>
        <w:rPr>
          <w:rFonts w:ascii="ARIAL" w:hAnsi="ARIAL"/>
          <w:sz w:val="22"/>
        </w:rPr>
        <w:t xml:space="preserve">Stamford, Connecticut 06902 </w:t>
      </w:r>
    </w:p>
    <w:p>
      <w:pPr>
        <w:pStyle w:val="TextBody"/>
        <w:bidi w:val="0"/>
        <w:spacing w:before="0" w:after="0"/>
        <w:jc w:val="center"/>
        <w:rPr>
          <w:rFonts w:ascii="ARIAL" w:hAnsi="ARIAL"/>
          <w:sz w:val="22"/>
        </w:rPr>
      </w:pPr>
      <w:r>
        <w:rPr>
          <w:rFonts w:ascii="ARIAL" w:hAnsi="ARIAL"/>
          <w:sz w:val="22"/>
        </w:rPr>
        <w:t xml:space="preserve">Phone Number: 1-800-662-5200 </w:t>
      </w:r>
    </w:p>
    <w:p>
      <w:pPr>
        <w:pStyle w:val="TextBody"/>
        <w:bidi w:val="0"/>
        <w:spacing w:before="0" w:after="0"/>
        <w:jc w:val="center"/>
        <w:rPr>
          <w:rFonts w:ascii="ARIAL" w:hAnsi="ARIAL"/>
          <w:sz w:val="22"/>
        </w:rPr>
      </w:pPr>
      <w:r>
        <w:rPr>
          <w:rFonts w:ascii="ARIAL" w:hAnsi="ARIAL"/>
          <w:sz w:val="22"/>
        </w:rPr>
        <w:t xml:space="preserve">Email: nwl.info@investor.sodali.com </w:t>
      </w:r>
    </w:p>
    <w:p>
      <w:pPr>
        <w:pStyle w:val="TextBody"/>
        <w:bidi w:val="0"/>
        <w:spacing w:before="360" w:after="0"/>
        <w:jc w:val="left"/>
        <w:rPr>
          <w:rFonts w:ascii="ARIAL" w:hAnsi="ARIAL"/>
          <w:b/>
          <w:i/>
          <w:sz w:val="22"/>
        </w:rPr>
      </w:pPr>
      <w:r>
        <w:rPr>
          <w:rFonts w:ascii="ARIAL" w:hAnsi="ARIAL"/>
          <w:b/>
          <w:i/>
          <w:sz w:val="22"/>
        </w:rPr>
        <w:t xml:space="preserve">Who will pay the costs of solicitation of proxies? </w:t>
      </w:r>
    </w:p>
    <w:p>
      <w:pPr>
        <w:pStyle w:val="TextBody"/>
        <w:bidi w:val="0"/>
        <w:spacing w:before="240" w:after="0"/>
        <w:jc w:val="both"/>
        <w:rPr>
          <w:rFonts w:ascii="ARIAL" w:hAnsi="ARIAL"/>
          <w:sz w:val="22"/>
        </w:rPr>
      </w:pPr>
      <w:r>
        <w:rPr>
          <w:rFonts w:ascii="ARIAL" w:hAnsi="ARIAL"/>
          <w:sz w:val="22"/>
        </w:rPr>
        <w:t xml:space="preserve">The Company will pay the costs of soliciting proxies.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2"/>
        </w:rPr>
      </w:pPr>
      <w:r>
        <w:rPr>
          <w:rFonts w:ascii="ARIAL" w:hAnsi="ARIAL"/>
          <w:b/>
          <w:i/>
          <w:sz w:val="22"/>
        </w:rPr>
        <w:t xml:space="preserve">Who is the Company’s proxy solicitor? </w:t>
      </w:r>
    </w:p>
    <w:p>
      <w:pPr>
        <w:pStyle w:val="TextBody"/>
        <w:bidi w:val="0"/>
        <w:spacing w:before="240" w:after="0"/>
        <w:jc w:val="both"/>
        <w:rPr>
          <w:rFonts w:ascii="ARIAL" w:hAnsi="ARIAL"/>
          <w:sz w:val="22"/>
        </w:rPr>
      </w:pPr>
      <w:r>
        <w:rPr>
          <w:rFonts w:ascii="ARIAL" w:hAnsi="ARIAL"/>
          <w:sz w:val="22"/>
        </w:rPr>
        <w:t xml:space="preserve">The Company has retained Sodali &amp; Co to aid in the solicitation of proxies and to verify certain records related to the solicitation. </w:t>
      </w:r>
    </w:p>
    <w:p>
      <w:pPr>
        <w:pStyle w:val="TextBody"/>
        <w:bidi w:val="0"/>
        <w:spacing w:before="240" w:after="0"/>
        <w:jc w:val="both"/>
        <w:rPr>
          <w:rFonts w:ascii="ARIAL" w:hAnsi="ARIAL"/>
          <w:sz w:val="22"/>
        </w:rPr>
      </w:pPr>
      <w:r>
        <w:rPr>
          <w:rFonts w:ascii="ARIAL" w:hAnsi="ARIAL"/>
          <w:sz w:val="22"/>
        </w:rPr>
        <w:t xml:space="preserve">The Company will pay Sodali &amp; Co a fee of approximately $13,200 as compensation for its services and will reimburse it for its reasonable out-of-pocket expenses. </w:t>
      </w:r>
    </w:p>
    <w:p>
      <w:pPr>
        <w:pStyle w:val="TextBody"/>
        <w:bidi w:val="0"/>
        <w:spacing w:before="240" w:after="0"/>
        <w:jc w:val="both"/>
        <w:rPr>
          <w:rFonts w:ascii="ARIAL" w:hAnsi="ARIAL"/>
          <w:sz w:val="22"/>
        </w:rPr>
      </w:pPr>
      <w:r>
        <w:rPr>
          <w:rFonts w:ascii="ARIAL" w:hAnsi="ARIAL"/>
          <w:sz w:val="22"/>
        </w:rPr>
        <w:t xml:space="preserve">In addition to solicitation by mail, directors, officers and employees of the Company, at no additional compensation, may solicit proxies from stockholders by telephone, facsimile, Internet or in person. Upon request, the Company will also reimburse brokerage houses and other custodians, nominees and fiduciaries for their reasonable expenses in sending the proxy materials to beneficial owners. </w:t>
      </w:r>
    </w:p>
    <w:p>
      <w:pPr>
        <w:pStyle w:val="TextBody"/>
        <w:bidi w:val="0"/>
        <w:spacing w:before="360" w:after="0"/>
        <w:jc w:val="left"/>
        <w:rPr>
          <w:rFonts w:ascii="ARIAL" w:hAnsi="ARIAL"/>
          <w:b/>
          <w:i/>
          <w:sz w:val="22"/>
        </w:rPr>
      </w:pPr>
      <w:r>
        <w:rPr>
          <w:rFonts w:ascii="ARIAL" w:hAnsi="ARIAL"/>
          <w:b/>
          <w:i/>
          <w:sz w:val="22"/>
        </w:rPr>
        <w:t xml:space="preserve">How will my shares be voted? </w:t>
      </w:r>
    </w:p>
    <w:p>
      <w:pPr>
        <w:pStyle w:val="TextBody"/>
        <w:bidi w:val="0"/>
        <w:spacing w:before="240" w:after="0"/>
        <w:jc w:val="both"/>
        <w:rPr>
          <w:rFonts w:ascii="ARIAL" w:hAnsi="ARIAL"/>
          <w:sz w:val="22"/>
        </w:rPr>
      </w:pPr>
      <w:r>
        <w:rPr>
          <w:rFonts w:ascii="ARIAL" w:hAnsi="ARIAL"/>
          <w:sz w:val="22"/>
        </w:rPr>
        <w:t xml:space="preserve">If you vote by mail, through the Internet, by telephone or in person, your shares of common stock will be voted as you direct. </w:t>
      </w:r>
    </w:p>
    <w:p>
      <w:pPr>
        <w:pStyle w:val="TextBody"/>
        <w:bidi w:val="0"/>
        <w:spacing w:before="240" w:after="0"/>
        <w:jc w:val="both"/>
        <w:rPr>
          <w:rFonts w:ascii="ARIAL" w:hAnsi="ARIAL"/>
          <w:sz w:val="22"/>
        </w:rPr>
      </w:pPr>
      <w:r>
        <w:rPr>
          <w:rFonts w:ascii="ARIAL" w:hAnsi="ARIAL"/>
          <w:sz w:val="22"/>
        </w:rPr>
        <w:t xml:space="preserve">If you sign and return your proxy card, but do not specify how your shares of common stock are to be voted, your shares of common stock will be voted as recommended by the Board. </w:t>
      </w:r>
    </w:p>
    <w:p>
      <w:pPr>
        <w:pStyle w:val="TextBody"/>
        <w:bidi w:val="0"/>
        <w:spacing w:before="240" w:after="0"/>
        <w:jc w:val="both"/>
        <w:rPr>
          <w:rFonts w:ascii="ARIAL" w:hAnsi="ARIAL"/>
          <w:sz w:val="22"/>
        </w:rPr>
      </w:pPr>
      <w:r>
        <w:rPr>
          <w:rFonts w:ascii="ARIAL" w:hAnsi="ARIAL"/>
          <w:sz w:val="22"/>
        </w:rPr>
        <w:t xml:space="preserve">We recommend that you vote on your proxy card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pPr>
            <w:r>
              <w:rPr/>
              <w:t>“</w:t>
            </w:r>
            <w:r>
              <w:rPr>
                <w:rFonts w:ascii="ARIAL" w:hAnsi="ARIAL"/>
                <w:b/>
                <w:sz w:val="22"/>
              </w:rPr>
              <w:t>FOR</w:t>
            </w:r>
            <w:r>
              <w:rPr>
                <w:rFonts w:ascii="ARIAL" w:hAnsi="ARIAL"/>
                <w:sz w:val="22"/>
              </w:rPr>
              <w:t>” all of the director nominees listed under the caption “</w:t>
            </w:r>
            <w:r>
              <w:rPr>
                <w:rFonts w:ascii="ARIAL" w:hAnsi="ARIAL"/>
                <w:b/>
                <w:sz w:val="22"/>
              </w:rPr>
              <w:t>PROPOSAL 1 - ELECTION OF DIRECTORS</w:t>
            </w:r>
            <w:r>
              <w:rPr>
                <w:rFonts w:ascii="ARIAL" w:hAnsi="ARIAL"/>
                <w:sz w:val="22"/>
              </w:rPr>
              <w:t xml:space="preserve">” beginning on page 12;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pPr>
            <w:r>
              <w:rPr/>
              <w:t>“</w:t>
            </w:r>
            <w:r>
              <w:rPr>
                <w:rFonts w:ascii="ARIAL" w:hAnsi="ARIAL"/>
                <w:b/>
                <w:sz w:val="22"/>
              </w:rPr>
              <w:t>FOR</w:t>
            </w:r>
            <w:r>
              <w:rPr>
                <w:rFonts w:ascii="ARIAL" w:hAnsi="ARIAL"/>
                <w:sz w:val="22"/>
              </w:rPr>
              <w:t>” the approval of the appointment of PricewaterhouseCoopers LLP as the Company’s independent registered public accounting firm for the fiscal year ending December 31, 2026, as described under the caption “</w:t>
            </w:r>
            <w:r>
              <w:rPr>
                <w:rFonts w:ascii="ARIAL" w:hAnsi="ARIAL"/>
                <w:b/>
                <w:sz w:val="22"/>
              </w:rPr>
              <w:t>PROPOSAL 2 - APPROVAL OF THE APPOINTMENT OF INDEPENDENT REGISTERED PUBLIC ACCOUNTING FIRM</w:t>
            </w:r>
            <w:r>
              <w:rPr>
                <w:rFonts w:ascii="ARIAL" w:hAnsi="ARIAL"/>
                <w:sz w:val="22"/>
              </w:rPr>
              <w:t xml:space="preserve">” beginning on page 82;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pPr>
            <w:r>
              <w:rPr/>
              <w:t>“</w:t>
            </w:r>
            <w:r>
              <w:rPr>
                <w:rFonts w:ascii="ARIAL" w:hAnsi="ARIAL"/>
                <w:b/>
                <w:sz w:val="22"/>
              </w:rPr>
              <w:t>FOR</w:t>
            </w:r>
            <w:r>
              <w:rPr>
                <w:rFonts w:ascii="ARIAL" w:hAnsi="ARIAL"/>
                <w:sz w:val="22"/>
              </w:rPr>
              <w:t>” the approval of an advisory resolution on named executive officer compensation, as described under the caption “</w:t>
            </w:r>
            <w:r>
              <w:rPr>
                <w:rFonts w:ascii="ARIAL" w:hAnsi="ARIAL"/>
                <w:b/>
                <w:sz w:val="22"/>
              </w:rPr>
              <w:t>PROPOSAL 3 - APPROVAL OF AN ADVISORY RESOLUTION ON NAMED EXECUTIVE OFFICER COMPENSATION</w:t>
            </w:r>
            <w:r>
              <w:rPr>
                <w:rFonts w:ascii="ARIAL" w:hAnsi="ARIAL"/>
                <w:sz w:val="22"/>
              </w:rPr>
              <w:t xml:space="preserve">” beginning on page 83;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pPr>
            <w:r>
              <w:rPr/>
              <w:t>“</w:t>
            </w:r>
            <w:r>
              <w:rPr>
                <w:rFonts w:ascii="ARIAL" w:hAnsi="ARIAL"/>
                <w:b/>
                <w:sz w:val="22"/>
              </w:rPr>
              <w:t>FOR</w:t>
            </w:r>
            <w:r>
              <w:rPr>
                <w:rFonts w:ascii="ARIAL" w:hAnsi="ARIAL"/>
                <w:sz w:val="22"/>
              </w:rPr>
              <w:t>” the approval of the 2026 Incentive Plan, as described under the caption “</w:t>
            </w:r>
            <w:r>
              <w:rPr>
                <w:rFonts w:ascii="ARIAL" w:hAnsi="ARIAL"/>
                <w:b/>
                <w:sz w:val="22"/>
              </w:rPr>
              <w:t>PROPOSAL 4 - APPROVAL OF THE NEWELL BRANDS INC. 2026 INCENTIVE PLAN</w:t>
            </w:r>
            <w:r>
              <w:rPr>
                <w:rFonts w:ascii="ARIAL" w:hAnsi="ARIAL"/>
                <w:sz w:val="22"/>
              </w:rPr>
              <w:t xml:space="preserve">” beginning on page 84. </w:t>
            </w:r>
          </w:p>
        </w:tc>
      </w:tr>
    </w:tbl>
    <w:p>
      <w:pPr>
        <w:pStyle w:val="TextBody"/>
        <w:bidi w:val="0"/>
        <w:spacing w:before="360" w:after="0"/>
        <w:jc w:val="left"/>
        <w:rPr>
          <w:rFonts w:ascii="ARIAL" w:hAnsi="ARIAL"/>
          <w:b/>
          <w:i/>
          <w:sz w:val="22"/>
        </w:rPr>
      </w:pPr>
      <w:r>
        <w:rPr>
          <w:rFonts w:ascii="ARIAL" w:hAnsi="ARIAL"/>
          <w:b/>
          <w:i/>
          <w:sz w:val="22"/>
        </w:rPr>
        <w:t xml:space="preserve">How do I submit a stockholder proposal for the 2027 annual meeting? </w:t>
      </w:r>
    </w:p>
    <w:p>
      <w:pPr>
        <w:pStyle w:val="TextBody"/>
        <w:bidi w:val="0"/>
        <w:spacing w:before="240" w:after="0"/>
        <w:jc w:val="both"/>
        <w:rPr>
          <w:rFonts w:ascii="ARIAL" w:hAnsi="ARIAL"/>
          <w:sz w:val="22"/>
        </w:rPr>
      </w:pPr>
      <w:r>
        <w:rPr>
          <w:rFonts w:ascii="ARIAL" w:hAnsi="ARIAL"/>
          <w:sz w:val="22"/>
        </w:rPr>
        <w:t>Any stockholder who intends to present a proposal for inclusion in next year’s proxy statement and form of proxy pursuant to Rule 14a-8 under the Securities Exchange Act of 1934, as amended (the “</w:t>
      </w:r>
      <w:r>
        <w:rPr>
          <w:rFonts w:ascii="ARIAL" w:hAnsi="ARIAL"/>
          <w:b/>
          <w:sz w:val="22"/>
        </w:rPr>
        <w:t>Exchange Act</w:t>
      </w:r>
      <w:r>
        <w:rPr>
          <w:rFonts w:ascii="ARIAL" w:hAnsi="ARIAL"/>
          <w:sz w:val="22"/>
        </w:rPr>
        <w:t xml:space="preserve">”), must submit the proposal, in writing, so that the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Corporate Secretary receives it at our principal executive offices by the close of business on November 26, 2026. Such proposals also must comply with Rule 14a-8 under the Exchange Act and any other applicable SEC guidance relating to stockholder proposals. </w:t>
      </w:r>
    </w:p>
    <w:p>
      <w:pPr>
        <w:pStyle w:val="TextBody"/>
        <w:bidi w:val="0"/>
        <w:spacing w:before="240" w:after="0"/>
        <w:jc w:val="both"/>
        <w:rPr>
          <w:rFonts w:ascii="ARIAL" w:hAnsi="ARIAL"/>
          <w:sz w:val="22"/>
        </w:rPr>
      </w:pPr>
      <w:r>
        <w:rPr>
          <w:rFonts w:ascii="ARIAL" w:hAnsi="ARIAL"/>
          <w:sz w:val="22"/>
        </w:rPr>
        <w:t xml:space="preserve">Any stockholder who wishes to present a proposal directly at the 2027 annual meeting without including such proposal in the Company’s proxy statement must notify the Company of such proposal, in writing, no later than February 6, 2027, which is the date that is 90 days prior to the one-year anniversary date of the Annual Meeting. The stockholder must also comply with the requirements of Section 2.12 of the Company’s By-Laws with respect to stockholder proposals. If a stockholder does not satisfy the applicable requirements of Rule 14a-4 of the Exchange Act, the individuals named as proxies will be allowed to use their discretionary voting authority to vote on any such stockholder proposal as they determine appropriate if and when the matter is raised at the meeting. </w:t>
      </w:r>
    </w:p>
    <w:p>
      <w:pPr>
        <w:pStyle w:val="TextBody"/>
        <w:bidi w:val="0"/>
        <w:spacing w:before="360" w:after="0"/>
        <w:jc w:val="left"/>
        <w:rPr>
          <w:rFonts w:ascii="ARIAL" w:hAnsi="ARIAL"/>
          <w:b/>
          <w:i/>
          <w:sz w:val="22"/>
        </w:rPr>
      </w:pPr>
      <w:r>
        <w:rPr>
          <w:rFonts w:ascii="ARIAL" w:hAnsi="ARIAL"/>
          <w:b/>
          <w:i/>
          <w:sz w:val="22"/>
        </w:rPr>
        <w:t xml:space="preserve">How do I nominate a candidate for election as a director at the 2027 annual meeting? </w:t>
      </w:r>
    </w:p>
    <w:p>
      <w:pPr>
        <w:pStyle w:val="TextBody"/>
        <w:bidi w:val="0"/>
        <w:spacing w:before="240" w:after="0"/>
        <w:jc w:val="both"/>
        <w:rPr>
          <w:rFonts w:ascii="ARIAL" w:hAnsi="ARIAL"/>
          <w:sz w:val="22"/>
        </w:rPr>
      </w:pPr>
      <w:r>
        <w:rPr>
          <w:rFonts w:ascii="ARIAL" w:hAnsi="ARIAL"/>
          <w:sz w:val="22"/>
        </w:rPr>
        <w:t xml:space="preserve">Any stockholder wishing to nominate a candidate for election as a director at next year’s annual meeting must notify the Company in writing no later than February 6, 2027, which date is 90 days prior to the one-year anniversary date of the Annual Meeting. Such notice must include appropriate biographical information and otherwise comply with the requirements of the Company’s Restated Certificate of Incorporation and By-Laws relating to stockholder nominations of directors. In addition, our By-Laws allow qualifying stockholders to include their director nominees in the Company’s proxy materials by giving notice in writing no earlier than January 7, 2027 and no later than February 6, 2027. Such notice of a proxy access nomination must set forth certain information specified in the Company’s proxy access By-Law about each stockholder submitting a nomination and each person being nominated as a candidate for election as a director. </w:t>
      </w:r>
    </w:p>
    <w:p>
      <w:pPr>
        <w:pStyle w:val="TextBody"/>
        <w:bidi w:val="0"/>
        <w:spacing w:before="240" w:after="0"/>
        <w:jc w:val="both"/>
        <w:rPr>
          <w:rFonts w:ascii="ARIAL" w:hAnsi="ARIAL"/>
          <w:sz w:val="22"/>
        </w:rPr>
      </w:pPr>
      <w:r>
        <w:rPr>
          <w:rFonts w:ascii="ARIAL" w:hAnsi="ARIAL"/>
          <w:sz w:val="22"/>
        </w:rPr>
        <w:t>In addition to satisfying the requirements under our By-Laws, a nominating stockholder must comply with the SEC’s universal proxy rules. The stockholder’s notice must set forth the information required by Rule 14a-19 under the Exchange Act and comply with the deadlines in the preceding paragraph.</w:t>
      </w:r>
    </w:p>
    <w:p>
      <w:pPr>
        <w:pStyle w:val="TextBody"/>
        <w:bidi w:val="0"/>
        <w:spacing w:before="240" w:after="0"/>
        <w:jc w:val="both"/>
        <w:rPr>
          <w:rFonts w:ascii="ARIAL" w:hAnsi="ARIAL"/>
          <w:sz w:val="22"/>
        </w:rPr>
      </w:pPr>
      <w:r>
        <w:rPr>
          <w:rFonts w:ascii="ARIAL" w:hAnsi="ARIAL"/>
          <w:sz w:val="22"/>
        </w:rPr>
        <w:t xml:space="preserve">However, if the date of 2026 annual meeting is changed by more than 30 calendar days from May 7, 2027 (the one-year anniversary date of the Annual Meeting), then the stockholder must provide notice by the later of 60 days prior to the date of the 2027 annual meeting and the 10th calendar day following the date on which public announcement of the date of the 2027 annual meeting is first made. </w:t>
      </w:r>
    </w:p>
    <w:p>
      <w:pPr>
        <w:pStyle w:val="TextBody"/>
        <w:bidi w:val="0"/>
        <w:spacing w:before="360" w:after="0"/>
        <w:jc w:val="both"/>
        <w:rPr>
          <w:rFonts w:ascii="ARIAL" w:hAnsi="ARIAL"/>
          <w:b/>
          <w:i/>
          <w:sz w:val="22"/>
        </w:rPr>
      </w:pPr>
      <w:r>
        <w:rPr>
          <w:rFonts w:ascii="ARIAL" w:hAnsi="ARIAL"/>
          <w:b/>
          <w:i/>
          <w:sz w:val="22"/>
        </w:rPr>
        <w:t xml:space="preserve">How do I provide a notice of my intention to present proposals and director nominations at the 2027 annual meeting? </w:t>
      </w:r>
    </w:p>
    <w:p>
      <w:pPr>
        <w:pStyle w:val="TextBody"/>
        <w:bidi w:val="0"/>
        <w:spacing w:before="240" w:after="0"/>
        <w:jc w:val="both"/>
        <w:rPr>
          <w:rFonts w:ascii="ARIAL" w:hAnsi="ARIAL"/>
          <w:sz w:val="22"/>
        </w:rPr>
      </w:pPr>
      <w:r>
        <w:rPr>
          <w:rFonts w:ascii="ARIAL" w:hAnsi="ARIAL"/>
          <w:sz w:val="22"/>
        </w:rPr>
        <w:t xml:space="preserve">Notices of intention to present proposals and director nominations at the 2027 annual meeting or requests in connection therewith, including requests for copies of the relevant provisions of the Company’s Restated Certificate of Incorporation or By-Laws relating to proposals and director nominations, should be mailed and addressed to Newell Brands Inc., 5 Concourse Parkway, NE, 8th Floor, Atlanta, Georgia 30328, Attention: Corporate Secretary.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2"/>
        </w:rPr>
      </w:pPr>
      <w:r>
        <w:rPr>
          <w:rFonts w:ascii="ARIAL" w:hAnsi="ARIAL"/>
          <w:b/>
          <w:i/>
          <w:sz w:val="22"/>
        </w:rPr>
        <w:t xml:space="preserve">How can I obtain a copy of the Company’s 2025 annual report on Form 10-K? </w:t>
      </w:r>
    </w:p>
    <w:p>
      <w:pPr>
        <w:pStyle w:val="TextBody"/>
        <w:bidi w:val="0"/>
        <w:spacing w:before="240" w:after="0"/>
        <w:jc w:val="both"/>
        <w:rPr>
          <w:rFonts w:ascii="ARIAL" w:hAnsi="ARIAL"/>
          <w:sz w:val="22"/>
        </w:rPr>
      </w:pPr>
      <w:r>
        <w:rPr>
          <w:rFonts w:ascii="ARIAL" w:hAnsi="ARIAL"/>
          <w:sz w:val="22"/>
        </w:rPr>
        <w:t>A copy of the Company’s 2025 annual report on Form 10-K (including the financial statements and financial statement schedules) (the “</w:t>
      </w:r>
      <w:r>
        <w:rPr>
          <w:rFonts w:ascii="ARIAL" w:hAnsi="ARIAL"/>
          <w:b/>
          <w:sz w:val="22"/>
        </w:rPr>
        <w:t>Annual Report on</w:t>
      </w:r>
      <w:r>
        <w:rPr>
          <w:rFonts w:ascii="ARIAL" w:hAnsi="ARIAL"/>
          <w:sz w:val="22"/>
        </w:rPr>
        <w:t> </w:t>
      </w:r>
      <w:r>
        <w:rPr>
          <w:rFonts w:ascii="ARIAL" w:hAnsi="ARIAL"/>
          <w:b/>
          <w:sz w:val="22"/>
        </w:rPr>
        <w:t>Form 10-K</w:t>
      </w:r>
      <w:r>
        <w:rPr>
          <w:rFonts w:ascii="ARIAL" w:hAnsi="ARIAL"/>
          <w:sz w:val="22"/>
        </w:rPr>
        <w:t xml:space="preserve">”), as filed with the SEC, may be obtained without charge upon written request to the office of the Corporate Secretary of the Company at 5 Concourse Parkway, NE, 8th Floor, Atlanta, Georgia 30328. A copy of the Company’s Annual Report on Form 10-K and other periodic filings also may be obtained under the “SEC Filings” link under the “Investors” tab on the Company’s website at </w:t>
      </w:r>
      <w:r>
        <w:rPr>
          <w:rFonts w:ascii="ARIAL" w:hAnsi="ARIAL"/>
          <w:i/>
          <w:sz w:val="22"/>
        </w:rPr>
        <w:t>www.newellbrands.com</w:t>
      </w:r>
      <w:r>
        <w:rPr>
          <w:rFonts w:ascii="ARIAL" w:hAnsi="ARIAL"/>
          <w:sz w:val="22"/>
        </w:rPr>
        <w:t xml:space="preserve"> and from the SEC’s EDGAR database at </w:t>
      </w:r>
      <w:r>
        <w:rPr>
          <w:rFonts w:ascii="ARIAL" w:hAnsi="ARIAL"/>
          <w:i/>
          <w:sz w:val="22"/>
        </w:rPr>
        <w:t>www.sec.gov</w:t>
      </w:r>
      <w:r>
        <w:rPr>
          <w:rFonts w:ascii="ARIAL" w:hAnsi="ARIAL"/>
          <w:sz w:val="22"/>
        </w:rPr>
        <w:t xml:space="preserve">. The information contained on, or accessible from, the Company’s website is not incorporated by reference into this Proxy Statement or any other report or document the Company files with or furnishes to the SEC, and references to the Company’s website are intended to be inactive textual references only. </w:t>
      </w:r>
    </w:p>
    <w:p>
      <w:pPr>
        <w:pStyle w:val="TextBody"/>
        <w:bidi w:val="0"/>
        <w:spacing w:before="360" w:after="0"/>
        <w:jc w:val="left"/>
        <w:rPr>
          <w:rFonts w:ascii="ARIAL" w:hAnsi="ARIAL"/>
          <w:b/>
          <w:i/>
          <w:sz w:val="22"/>
        </w:rPr>
      </w:pPr>
      <w:r>
        <w:rPr>
          <w:rFonts w:ascii="ARIAL" w:hAnsi="ARIAL"/>
          <w:b/>
          <w:i/>
          <w:sz w:val="22"/>
        </w:rPr>
        <w:t xml:space="preserve">What is householding? </w:t>
      </w:r>
    </w:p>
    <w:p>
      <w:pPr>
        <w:pStyle w:val="TextBody"/>
        <w:bidi w:val="0"/>
        <w:spacing w:before="240" w:after="0"/>
        <w:jc w:val="both"/>
        <w:rPr>
          <w:rFonts w:ascii="ARIAL" w:hAnsi="ARIAL"/>
          <w:sz w:val="22"/>
        </w:rPr>
      </w:pPr>
      <w:r>
        <w:rPr>
          <w:rFonts w:ascii="ARIAL" w:hAnsi="ARIAL"/>
          <w:sz w:val="22"/>
        </w:rPr>
        <w:t xml:space="preserve">As permitted by the Exchange Act, only one copy of the Notice, proxy materials and 2025 Annual Report is being delivered to stockholders residing at the same address, unless the stockholders have notified the Company of their desire to receive multiple copies of the Notice, proxy materials or 2025 Annual Report. This is known as “householding.” </w:t>
      </w:r>
    </w:p>
    <w:p>
      <w:pPr>
        <w:pStyle w:val="TextBody"/>
        <w:bidi w:val="0"/>
        <w:spacing w:before="240" w:after="0"/>
        <w:jc w:val="both"/>
        <w:rPr>
          <w:rFonts w:ascii="ARIAL" w:hAnsi="ARIAL"/>
          <w:sz w:val="22"/>
        </w:rPr>
      </w:pPr>
      <w:r>
        <w:rPr>
          <w:rFonts w:ascii="ARIAL" w:hAnsi="ARIAL"/>
          <w:sz w:val="22"/>
        </w:rPr>
        <w:t xml:space="preserve">The Company will promptly deliver, upon oral or written request, a separate copy of the Notice, proxy materials or 2025 Annual Report to any stockholder residing at an address to which only one copy was mailed. Requests for additional copies should be directed to Newell Brands Inc., 5 Concourse Parkway, NE, 8th Floor, Atlanta, Georgia 30328, Attention: Corporate Secretary. Stockholders of record residing at the same address and currently receiving multiple copies of the Notice, proxy materials or 2025 Annual Report may contact our transfer agent, Computershare Investor Services, to request that only a single copy of the Notice or proxy materials be mailed in the future. </w:t>
      </w:r>
    </w:p>
    <w:p>
      <w:pPr>
        <w:pStyle w:val="TextBody"/>
        <w:bidi w:val="0"/>
        <w:spacing w:before="240" w:after="0"/>
        <w:jc w:val="both"/>
        <w:rPr>
          <w:rFonts w:ascii="ARIAL" w:hAnsi="ARIAL"/>
          <w:sz w:val="22"/>
        </w:rPr>
      </w:pPr>
      <w:r>
        <w:rPr>
          <w:rFonts w:ascii="ARIAL" w:hAnsi="ARIAL"/>
          <w:sz w:val="22"/>
        </w:rPr>
        <w:t xml:space="preserve">Contact Computershare Investor Services by phone at (877) 233-3006 or (312) 360-5217 or by mail at P.O. Box 43006, Providence, Rhode Island 02940-3006. Stockholders may also contact their bank, broker or other nominee to make a similar request. </w:t>
      </w:r>
    </w:p>
    <w:p>
      <w:pPr>
        <w:pStyle w:val="TextBody"/>
        <w:bidi w:val="0"/>
        <w:spacing w:before="360" w:after="0"/>
        <w:jc w:val="left"/>
        <w:rPr>
          <w:rFonts w:ascii="ARIAL" w:hAnsi="ARIAL"/>
          <w:b/>
          <w:i/>
          <w:sz w:val="22"/>
        </w:rPr>
      </w:pPr>
      <w:r>
        <w:rPr>
          <w:rFonts w:ascii="ARIAL" w:hAnsi="ARIAL"/>
          <w:b/>
          <w:i/>
          <w:sz w:val="22"/>
        </w:rPr>
        <w:t xml:space="preserve">Could other business be conducted at the Annual Meeting? </w:t>
      </w:r>
    </w:p>
    <w:p>
      <w:pPr>
        <w:pStyle w:val="TextBody"/>
        <w:bidi w:val="0"/>
        <w:spacing w:before="240" w:after="0"/>
        <w:jc w:val="both"/>
        <w:rPr>
          <w:rFonts w:ascii="ARIAL" w:hAnsi="ARIAL"/>
          <w:sz w:val="22"/>
        </w:rPr>
      </w:pPr>
      <w:r>
        <w:rPr>
          <w:rFonts w:ascii="ARIAL" w:hAnsi="ARIAL"/>
          <w:sz w:val="22"/>
        </w:rPr>
        <w:t xml:space="preserve">The Board does not know of any business to be brought before the Annual Meeting other than the matters described in the Notice herein. However, if any other matters properly come before the Annual Meeting and any adjournment or postponement of the Annual Meeting, the individuals named as proxies will be allowed to use their discretionary voting authority to vote on any such stockholder proposal as they determine appropriate if and when the matter is raised at the Annual Meeting.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248EC3"/>
          <w:sz w:val="22"/>
        </w:rPr>
      </w:pPr>
      <w:bookmarkStart w:id="4" w:name="toc52719_2"/>
      <w:bookmarkEnd w:id="4"/>
      <w:r>
        <w:rPr>
          <w:rFonts w:ascii="ARIAL" w:hAnsi="ARIAL"/>
          <w:b/>
          <w:color w:val="248EC3"/>
          <w:sz w:val="22"/>
        </w:rPr>
        <w:t xml:space="preserve">PROXY STATEMENT SUMMARY </w:t>
      </w:r>
    </w:p>
    <w:p>
      <w:pPr>
        <w:pStyle w:val="TextBody"/>
        <w:bidi w:val="0"/>
        <w:spacing w:before="240" w:after="0"/>
        <w:jc w:val="both"/>
        <w:rPr>
          <w:rFonts w:ascii="ARIAL" w:hAnsi="ARIAL"/>
          <w:sz w:val="22"/>
        </w:rPr>
      </w:pPr>
      <w:r>
        <w:rPr>
          <w:rFonts w:ascii="ARIAL" w:hAnsi="ARIAL"/>
          <w:sz w:val="22"/>
        </w:rPr>
        <w:t xml:space="preserve">We are providing this Proxy Statement to you in connection with the solicitation of proxies by the Board of Newell Brands Inc. for the Annual Meeting and any adjournment or postponement of the Annual Meeting. Below are highlights of certain information in this Proxy Statement. As it is only a summary, please review the full Proxy Statement and 2025 Annual Report before you vote. </w:t>
      </w:r>
    </w:p>
    <w:p>
      <w:pPr>
        <w:pStyle w:val="TextBody"/>
        <w:bidi w:val="0"/>
        <w:spacing w:before="240" w:after="0"/>
        <w:jc w:val="both"/>
        <w:rPr>
          <w:rFonts w:ascii="ARIAL" w:hAnsi="ARIAL"/>
          <w:sz w:val="22"/>
        </w:rPr>
      </w:pPr>
      <w:r>
        <w:rPr>
          <w:rFonts w:ascii="ARIAL" w:hAnsi="ARIAL"/>
          <w:sz w:val="22"/>
        </w:rPr>
        <w:t xml:space="preserve">This Proxy Statement is intended to be made available to you on or about March 26, 2026. </w:t>
      </w:r>
    </w:p>
    <w:p>
      <w:pPr>
        <w:pStyle w:val="TextBody"/>
        <w:bidi w:val="0"/>
        <w:spacing w:before="360" w:after="0"/>
        <w:jc w:val="left"/>
        <w:rPr>
          <w:rFonts w:ascii="ARIAL" w:hAnsi="ARIAL"/>
          <w:b/>
          <w:color w:val="248EC3"/>
          <w:sz w:val="22"/>
        </w:rPr>
      </w:pPr>
      <w:r>
        <w:rPr>
          <w:rFonts w:ascii="ARIAL" w:hAnsi="ARIAL"/>
          <w:b/>
          <w:color w:val="248EC3"/>
          <w:sz w:val="22"/>
        </w:rPr>
        <w:t xml:space="preserve">2026 ANNUAL MEETING OF STOCKHOLDERS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2150" cy="914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2150" cy="914400"/>
                    </a:xfrm>
                    <a:prstGeom prst="rect">
                      <a:avLst/>
                    </a:prstGeom>
                  </pic:spPr>
                </pic:pic>
              </a:graphicData>
            </a:graphic>
          </wp:inline>
        </w:drawing>
      </w:r>
      <w:r>
        <w:rPr/>
        <w:t xml:space="preserve"> </w:t>
      </w:r>
    </w:p>
    <w:p>
      <w:pPr>
        <w:pStyle w:val="TextBody"/>
        <w:bidi w:val="0"/>
        <w:spacing w:before="360" w:after="0"/>
        <w:jc w:val="left"/>
        <w:rPr>
          <w:rFonts w:ascii="ARIAL" w:hAnsi="ARIAL"/>
          <w:b/>
          <w:color w:val="248EC3"/>
          <w:sz w:val="22"/>
        </w:rPr>
      </w:pPr>
      <w:r>
        <w:rPr>
          <w:rFonts w:ascii="ARIAL" w:hAnsi="ARIAL"/>
          <w:b/>
          <w:color w:val="248EC3"/>
          <w:sz w:val="22"/>
        </w:rPr>
        <w:t xml:space="preserve">AGENDA ITEMS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2625" cy="2857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62625" cy="28575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48EC3"/>
          <w:sz w:val="22"/>
        </w:rPr>
      </w:pPr>
      <w:r>
        <w:rPr>
          <w:rFonts w:ascii="ARIAL" w:hAnsi="ARIAL"/>
          <w:b/>
          <w:color w:val="248EC3"/>
          <w:sz w:val="22"/>
        </w:rPr>
        <w:t xml:space="preserve">CORPORATE GOVERNANCE HIGHLIGHTS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2150" cy="1981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72150" cy="1981200"/>
                    </a:xfrm>
                    <a:prstGeom prst="rect">
                      <a:avLst/>
                    </a:prstGeom>
                  </pic:spPr>
                </pic:pic>
              </a:graphicData>
            </a:graphic>
          </wp:inline>
        </w:drawing>
      </w:r>
      <w:r>
        <w:rPr/>
        <w:t xml:space="preserve"> </w:t>
      </w:r>
    </w:p>
    <w:p>
      <w:pPr>
        <w:pStyle w:val="TextBody"/>
        <w:bidi w:val="0"/>
        <w:spacing w:before="240" w:after="0"/>
        <w:jc w:val="left"/>
        <w:rPr>
          <w:rFonts w:ascii="ARIAL" w:hAnsi="ARIAL"/>
          <w:b/>
          <w:color w:val="248EC3"/>
          <w:sz w:val="22"/>
        </w:rPr>
      </w:pPr>
      <w:r>
        <w:rPr>
          <w:rFonts w:ascii="ARIAL" w:hAnsi="ARIAL"/>
          <w:b/>
          <w:color w:val="248EC3"/>
          <w:sz w:val="22"/>
        </w:rPr>
        <w:t xml:space="preserve">2025 BOARD COMPOSITION SNAPSHOT </w:t>
      </w:r>
    </w:p>
    <w:p>
      <w:pPr>
        <w:pStyle w:val="TextBody"/>
        <w:bidi w:val="0"/>
        <w:spacing w:before="240" w:after="0"/>
        <w:jc w:val="both"/>
        <w:rPr>
          <w:rFonts w:ascii="ARIAL" w:hAnsi="ARIAL"/>
          <w:sz w:val="22"/>
        </w:rPr>
      </w:pPr>
      <w:r>
        <w:rPr>
          <w:rFonts w:ascii="ARIAL" w:hAnsi="ARIAL"/>
          <w:sz w:val="22"/>
        </w:rPr>
        <w:t>The Board seeks to identify as candidates for director persons from various backgrounds and with a variety of life experiences, a reputation for integrity and good business judgment and experience in highly responsible positions in professions or industries relevant to the conduct of the Company’s business. The graphic shown below provides a snapshot of the nine current directors’ skills as of the date of this Proxy Statement. For more information, please see “</w:t>
      </w:r>
      <w:r>
        <w:rPr>
          <w:rFonts w:ascii="ARIAL" w:hAnsi="ARIAL"/>
          <w:i/>
          <w:sz w:val="22"/>
        </w:rPr>
        <w:t>Information Regarding Board of Directors and Committees and Corporate Governance—Board Skills and Attributes.”</w:t>
      </w:r>
      <w:r>
        <w:rPr>
          <w:rFonts w:ascii="ARIAL" w:hAnsi="ARIAL"/>
          <w:sz w:val="22"/>
        </w:rPr>
        <w:t xml:space="preserv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2"/>
        </w:rPr>
      </w:pPr>
      <w:r>
        <w:rPr>
          <w:rFonts w:ascii="ARIAL" w:hAnsi="ARIAL"/>
          <w:b/>
          <w:sz w:val="22"/>
        </w:rPr>
        <w:t xml:space="preserve">Board Skills Snapshot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pPr>
      <w:r>
        <w:rPr/>
        <w:drawing>
          <wp:inline distT="0" distB="0" distL="0" distR="0">
            <wp:extent cx="7810500" cy="7343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810500" cy="73437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48EC3"/>
          <w:sz w:val="22"/>
        </w:rPr>
      </w:pPr>
      <w:r>
        <w:rPr>
          <w:rFonts w:ascii="ARIAL" w:hAnsi="ARIAL"/>
          <w:b/>
          <w:color w:val="248EC3"/>
          <w:sz w:val="22"/>
        </w:rPr>
        <w:t xml:space="preserve">COMPENSATION HIGHLIGHTS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248EC3" w:val="clear"/>
            <w:vAlign w:val="center"/>
          </w:tcPr>
          <w:p>
            <w:pPr>
              <w:pStyle w:val="TableContents"/>
              <w:bidi w:val="0"/>
              <w:spacing w:before="0" w:after="283"/>
              <w:jc w:val="left"/>
              <w:rPr>
                <w:sz w:val="4"/>
                <w:szCs w:val="4"/>
              </w:rPr>
            </w:pPr>
            <w:r>
              <w:rPr>
                <w:sz w:val="4"/>
                <w:szCs w:val="4"/>
              </w:rPr>
            </w:r>
          </w:p>
        </w:tc>
      </w:tr>
      <w:tr>
        <w:trPr/>
        <w:tc>
          <w:tcPr>
            <w:tcW w:w="10205" w:type="dxa"/>
            <w:tcBorders/>
            <w:shd w:fill="248EC3" w:val="clear"/>
            <w:vAlign w:val="center"/>
          </w:tcPr>
          <w:p>
            <w:pPr>
              <w:pStyle w:val="TableContents"/>
              <w:bidi w:val="0"/>
              <w:spacing w:before="0" w:after="0"/>
              <w:jc w:val="left"/>
              <w:rPr>
                <w:rFonts w:ascii="ARIAL" w:hAnsi="ARIAL"/>
                <w:b/>
                <w:color w:val="FFFFFF"/>
                <w:sz w:val="22"/>
              </w:rPr>
            </w:pPr>
            <w:r>
              <w:rPr>
                <w:rFonts w:ascii="ARIAL" w:hAnsi="ARIAL"/>
                <w:b/>
                <w:color w:val="FFFFFF"/>
                <w:sz w:val="22"/>
              </w:rPr>
              <w:t>The Company Emphasizes Pay for Performance, Stockholder Alignment and Long-Term Performance.</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In 2025, the Committee and the Board did not approve any special awards for the named executive officers.</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Based on the Company’s performance during the 2023-2025 performance period, performance-based restricted stock units (“</w:t>
            </w:r>
            <w:r>
              <w:rPr>
                <w:rFonts w:ascii="ARIAL" w:hAnsi="ARIAL"/>
                <w:b/>
                <w:sz w:val="22"/>
              </w:rPr>
              <w:t>PRSUs</w:t>
            </w:r>
            <w:r>
              <w:rPr>
                <w:rFonts w:ascii="ARIAL" w:hAnsi="ARIAL"/>
                <w:sz w:val="22"/>
              </w:rPr>
              <w:t>”) granted pursuant to the Long-Term Incentive Plan (“</w:t>
            </w:r>
            <w:r>
              <w:rPr>
                <w:rFonts w:ascii="ARIAL" w:hAnsi="ARIAL"/>
                <w:b/>
                <w:sz w:val="22"/>
              </w:rPr>
              <w:t>LTIP</w:t>
            </w:r>
            <w:r>
              <w:rPr>
                <w:rFonts w:ascii="ARIAL" w:hAnsi="ARIAL"/>
                <w:sz w:val="22"/>
              </w:rPr>
              <w:t>”) in 2023 were or will be earned at 93.8% upon vesting.</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Mr. Peterson’s final target total direct compensation (base salary, target cash incentive and target value of annual LTIP award) for 2025 was 54% performance-based and 89% at risk, and target total direct compensation of the other named executive officers (on average) was approximately 50% performance-based and 79% at risk.</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In 2025, the named executive officers received annual LTIP grants that were 50% performance-based, consisting of PRSUs. The Company discloses in-process performance targets and slopes for the prior-year (2025) LTIP (in addition to those for completed performance periods).</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The incentive targets for PRSUs granted to named executive officers pursuant to the LTIP in 2025 were weighted 50% to annual adjusted earnings per share performance and 50% to the achievement of free cash flow productivity targets over the three-year performance period, reflecting a focus on earnings performance while maintaining an emphasis on cash generation during this timeframe.</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The annual incentive targets under the Company’s Management Bonus Plan (the “</w:t>
            </w:r>
            <w:r>
              <w:rPr>
                <w:rFonts w:ascii="ARIAL" w:hAnsi="ARIAL"/>
                <w:b/>
                <w:sz w:val="22"/>
              </w:rPr>
              <w:t>Bonus Plan</w:t>
            </w:r>
            <w:r>
              <w:rPr>
                <w:rFonts w:ascii="ARIAL" w:hAnsi="ARIAL"/>
                <w:sz w:val="22"/>
              </w:rPr>
              <w:t>”) in 2025 for corporate management participants, including Messrs. Peterson, Erceg and Turner and Ms. Platt, were tied to the achievement of Company-wide goals for adjusted earnings per share, adjusted operating cash flow, core sales, productivity improvements under the Finding Untapped Efficiencies and Leverage (“</w:t>
            </w:r>
            <w:r>
              <w:rPr>
                <w:rFonts w:ascii="ARIAL" w:hAnsi="ARIAL"/>
                <w:b/>
                <w:sz w:val="22"/>
              </w:rPr>
              <w:t>FUEL</w:t>
            </w:r>
            <w:r>
              <w:rPr>
                <w:rFonts w:ascii="ARIAL" w:hAnsi="ARIAL"/>
                <w:sz w:val="22"/>
              </w:rPr>
              <w:t>”) initiative, and weighted forecast accuracy.</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The annual incentive targets under the Bonus Plan in 2025 for Ms. Malkoski were weighted 30% to the achievement of the Company-wide goals described above and 70% to the achievement of goals for adjusted operating cash flow, adjusted operating income, core sales, FUEL productivity improvements and weighted forecast accuracy at the applicable segment level.</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Based on the performance of the Company and the relevant business units in 2025, the Bonus Plan for 2025 paid out at 80% of target for Messrs. Peterson, Erceg and Turner and Ms. Platt, and 114% of target for Ms. Malkoski.</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The Company maintains stock ownership and shareholding guidelines for its executive officers and non-employee directors to encourage alignment with stockholder interests.</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For additional information, please see the caption “</w:t>
      </w:r>
      <w:r>
        <w:rPr>
          <w:rFonts w:ascii="ARIAL" w:hAnsi="ARIAL"/>
          <w:i/>
          <w:sz w:val="22"/>
        </w:rPr>
        <w:t xml:space="preserve">Executive Compensation—Compensation Discussion and Analysis” </w:t>
      </w:r>
      <w:r>
        <w:rPr>
          <w:rFonts w:ascii="ARIAL" w:hAnsi="ARIAL"/>
          <w:sz w:val="22"/>
        </w:rPr>
        <w:t xml:space="preserve">on page 31.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color w:val="248EC3"/>
          <w:sz w:val="22"/>
        </w:rPr>
      </w:pPr>
      <w:bookmarkStart w:id="5" w:name="toc52719_3"/>
      <w:bookmarkEnd w:id="5"/>
      <w:r>
        <w:rPr>
          <w:rFonts w:ascii="ARIAL" w:hAnsi="ARIAL"/>
          <w:b/>
          <w:color w:val="248EC3"/>
          <w:sz w:val="22"/>
        </w:rPr>
        <w:t>PROPOSAL 1</w:t>
      </w:r>
      <w:r>
        <w:rPr>
          <w:rFonts w:ascii="ARIAL" w:hAnsi="ARIAL"/>
          <w:color w:val="248EC3"/>
          <w:sz w:val="22"/>
        </w:rPr>
        <w:t> </w:t>
      </w:r>
      <w:r>
        <w:rPr>
          <w:rFonts w:ascii="ARIAL" w:hAnsi="ARIAL"/>
          <w:b/>
          <w:i/>
          <w:color w:val="248EC3"/>
          <w:sz w:val="22"/>
        </w:rPr>
        <w:t>-</w:t>
      </w:r>
      <w:r>
        <w:rPr>
          <w:rFonts w:ascii="ARIAL" w:hAnsi="ARIAL"/>
          <w:color w:val="248EC3"/>
          <w:sz w:val="22"/>
        </w:rPr>
        <w:t> </w:t>
      </w:r>
      <w:r>
        <w:rPr>
          <w:rFonts w:ascii="ARIAL" w:hAnsi="ARIAL"/>
          <w:b/>
          <w:color w:val="248EC3"/>
          <w:sz w:val="22"/>
        </w:rPr>
        <w:t xml:space="preserve">ELECTION OF DIRECTORS </w:t>
      </w:r>
    </w:p>
    <w:p>
      <w:pPr>
        <w:pStyle w:val="TextBody"/>
        <w:bidi w:val="0"/>
        <w:spacing w:before="240" w:after="0"/>
        <w:jc w:val="left"/>
        <w:rPr>
          <w:rFonts w:ascii="ARIAL" w:hAnsi="ARIAL"/>
          <w:b/>
          <w:color w:val="248EC3"/>
          <w:sz w:val="22"/>
        </w:rPr>
      </w:pPr>
      <w:r>
        <w:rPr>
          <w:rFonts w:ascii="ARIAL" w:hAnsi="ARIAL"/>
          <w:b/>
          <w:color w:val="248EC3"/>
          <w:sz w:val="22"/>
        </w:rPr>
        <w:t xml:space="preserve">ELECTION OF DIRECTORS </w:t>
      </w:r>
    </w:p>
    <w:p>
      <w:pPr>
        <w:pStyle w:val="TextBody"/>
        <w:bidi w:val="0"/>
        <w:spacing w:before="240" w:after="0"/>
        <w:jc w:val="both"/>
        <w:rPr>
          <w:rFonts w:ascii="ARIAL" w:hAnsi="ARIAL"/>
          <w:sz w:val="22"/>
        </w:rPr>
      </w:pPr>
      <w:r>
        <w:rPr>
          <w:rFonts w:ascii="ARIAL" w:hAnsi="ARIAL"/>
          <w:sz w:val="22"/>
        </w:rPr>
        <w:t>The Board has selected the following eight nominees for election to the Board. Each of the nominees was elected by the stockholders at the 2025 Annual Meeting. The nominees will hold office from their election until the next annual meeting of stockholders, or until their successors are elected and qualified.</w:t>
      </w:r>
    </w:p>
    <w:p>
      <w:pPr>
        <w:pStyle w:val="TextBody"/>
        <w:bidi w:val="0"/>
        <w:spacing w:before="240" w:after="0"/>
        <w:jc w:val="both"/>
        <w:rPr>
          <w:rFonts w:ascii="ARIAL" w:hAnsi="ARIAL"/>
          <w:sz w:val="22"/>
        </w:rPr>
      </w:pPr>
      <w:r>
        <w:rPr>
          <w:rFonts w:ascii="ARIAL" w:hAnsi="ARIAL"/>
          <w:sz w:val="22"/>
        </w:rPr>
        <w:t xml:space="preserve">Judith A. Sprieser will not stand for re-election, as she has informed the Company of her preference to retire from Board service at the end of her current term, which will result in the number of directors serving on the Board being reduced to eight as of the Annual Meeting. The Board wishes to thank Ms. Sprieser for her distinguished service to the Company. </w:t>
      </w:r>
    </w:p>
    <w:p>
      <w:pPr>
        <w:pStyle w:val="TextBody"/>
        <w:bidi w:val="0"/>
        <w:spacing w:before="240" w:after="0"/>
        <w:jc w:val="both"/>
        <w:rPr>
          <w:rFonts w:ascii="ARIAL" w:hAnsi="ARIAL"/>
          <w:sz w:val="22"/>
        </w:rPr>
      </w:pPr>
      <w:r>
        <w:rPr>
          <w:rFonts w:ascii="ARIAL" w:hAnsi="ARIAL"/>
          <w:sz w:val="22"/>
        </w:rPr>
        <w:t xml:space="preserve">Proxies will be voted, unless otherwise indicated, FOR the election of all of the eight nominees. Each of the nominees has consented to being named as a nominee in the Company’s proxy materials and has accepted the nomination and agreed to serve as a director if elected by the Company’s stockholders. The Company has no reason to believe that any of the nominees will be unable to serve as a director. However, should any nominee be unable to serve if elected, the Board may reduce the number of directors, or proxies may be voted for another person nominated as a substitute by the Board. </w:t>
      </w:r>
    </w:p>
    <w:p>
      <w:pPr>
        <w:pStyle w:val="TextBody"/>
        <w:bidi w:val="0"/>
        <w:spacing w:before="240" w:after="0"/>
        <w:jc w:val="both"/>
        <w:rPr>
          <w:rFonts w:ascii="ARIAL" w:hAnsi="ARIAL"/>
          <w:b/>
          <w:sz w:val="22"/>
        </w:rPr>
      </w:pPr>
      <w:r>
        <w:rPr>
          <w:rFonts w:ascii="ARIAL" w:hAnsi="ARIAL"/>
          <w:b/>
          <w:sz w:val="22"/>
        </w:rPr>
        <w:t xml:space="preserve">The Board unanimously recommends a vote “FOR” the election of each of the following eight director nominees.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891"/>
        <w:gridCol w:w="120"/>
        <w:gridCol w:w="8194"/>
      </w:tblGrid>
      <w:tr>
        <w:trPr/>
        <w:tc>
          <w:tcPr>
            <w:tcW w:w="18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94" w:type="dxa"/>
            <w:tcBorders/>
            <w:vAlign w:val="center"/>
          </w:tcPr>
          <w:p>
            <w:pPr>
              <w:pStyle w:val="TableContents"/>
              <w:bidi w:val="0"/>
              <w:spacing w:before="0" w:after="283"/>
              <w:jc w:val="left"/>
              <w:rPr>
                <w:sz w:val="4"/>
                <w:szCs w:val="4"/>
              </w:rPr>
            </w:pPr>
            <w:r>
              <w:rPr>
                <w:sz w:val="4"/>
                <w:szCs w:val="4"/>
              </w:rPr>
            </w:r>
          </w:p>
        </w:tc>
      </w:tr>
      <w:tr>
        <w:trPr/>
        <w:tc>
          <w:tcPr>
            <w:tcW w:w="1891"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179830" cy="1177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79830" cy="1177925"/>
                          </a:xfrm>
                          <a:prstGeom prst="rect">
                            <a:avLst/>
                          </a:prstGeom>
                        </pic:spPr>
                      </pic:pic>
                    </a:graphicData>
                  </a:graphic>
                </wp:inline>
              </w:drawing>
            </w:r>
            <w:r>
              <w:rPr/>
              <w:t xml:space="preserve"> </w:t>
            </w:r>
          </w:p>
          <w:p>
            <w:pPr>
              <w:pStyle w:val="TableContents"/>
              <w:bidi w:val="0"/>
              <w:spacing w:before="0" w:after="0"/>
              <w:jc w:val="center"/>
              <w:rPr>
                <w:rFonts w:ascii="ARIAL" w:hAnsi="ARIAL"/>
                <w:i/>
                <w:sz w:val="22"/>
              </w:rPr>
            </w:pPr>
            <w:r>
              <w:rPr>
                <w:rFonts w:ascii="ARIAL" w:hAnsi="ARIAL"/>
                <w:i/>
                <w:sz w:val="22"/>
              </w:rPr>
              <w:t>Independent</w:t>
            </w:r>
          </w:p>
          <w:p>
            <w:pPr>
              <w:pStyle w:val="TableContents"/>
              <w:bidi w:val="0"/>
              <w:spacing w:before="0" w:after="0"/>
              <w:jc w:val="center"/>
              <w:rPr>
                <w:rFonts w:ascii="ARIAL" w:hAnsi="ARIAL"/>
                <w:i/>
                <w:sz w:val="22"/>
              </w:rPr>
            </w:pPr>
            <w:r>
              <w:rPr>
                <w:rFonts w:ascii="ARIAL" w:hAnsi="ARIAL"/>
                <w:i/>
                <w:sz w:val="22"/>
              </w:rPr>
              <w:t>Chairperson of the</w:t>
            </w:r>
          </w:p>
          <w:p>
            <w:pPr>
              <w:pStyle w:val="TableContents"/>
              <w:bidi w:val="0"/>
              <w:spacing w:before="0" w:after="0"/>
              <w:jc w:val="center"/>
              <w:rPr>
                <w:rFonts w:ascii="ARIAL" w:hAnsi="ARIAL"/>
                <w:i/>
                <w:sz w:val="22"/>
              </w:rPr>
            </w:pPr>
            <w:r>
              <w:rPr>
                <w:rFonts w:ascii="ARIAL" w:hAnsi="ARIAL"/>
                <w:i/>
                <w:sz w:val="22"/>
              </w:rPr>
              <w:t>Board</w:t>
            </w:r>
          </w:p>
          <w:p>
            <w:pPr>
              <w:pStyle w:val="TableContents"/>
              <w:bidi w:val="0"/>
              <w:spacing w:before="0" w:after="0"/>
              <w:jc w:val="center"/>
              <w:rPr>
                <w:rFonts w:ascii="ARIAL" w:hAnsi="ARIAL"/>
                <w:i/>
                <w:sz w:val="22"/>
              </w:rPr>
            </w:pPr>
            <w:r>
              <w:rPr>
                <w:rFonts w:ascii="ARIAL" w:hAnsi="ARIAL"/>
                <w:i/>
                <w:sz w:val="22"/>
              </w:rPr>
              <w:t>Director since 2018</w:t>
            </w:r>
          </w:p>
          <w:p>
            <w:pPr>
              <w:pStyle w:val="TableContents"/>
              <w:bidi w:val="0"/>
              <w:spacing w:before="0" w:after="20"/>
              <w:jc w:val="center"/>
              <w:rPr>
                <w:rFonts w:ascii="ARIAL" w:hAnsi="ARIAL"/>
                <w:i/>
                <w:sz w:val="22"/>
              </w:rPr>
            </w:pPr>
            <w:r>
              <w:rPr>
                <w:rFonts w:ascii="ARIAL" w:hAnsi="ARIAL"/>
                <w:i/>
                <w:sz w:val="22"/>
              </w:rPr>
              <w:t>Age: 65</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194"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248EC3"/>
                <w:sz w:val="22"/>
              </w:rPr>
            </w:pPr>
            <w:r>
              <w:rPr>
                <w:rFonts w:ascii="ARIAL" w:hAnsi="ARIAL"/>
                <w:b/>
                <w:i/>
                <w:color w:val="248EC3"/>
                <w:sz w:val="22"/>
              </w:rPr>
              <w:t>Bridget Ryan Berman</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2018 - Present:</w:t>
            </w:r>
            <w:r>
              <w:rPr>
                <w:rFonts w:ascii="ARIAL" w:hAnsi="ARIAL"/>
              </w:rPr>
              <w:t xml:space="preserve"> Managing Partner of Ryan Berman Advisory, LLC, a consumer and investment advisory firm</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2016 - 2018:</w:t>
            </w:r>
            <w:r>
              <w:rPr>
                <w:rFonts w:ascii="ARIAL" w:hAnsi="ARIAL"/>
              </w:rPr>
              <w:t xml:space="preserve"> Chief Experience and Strategy Officer at ENJOY Technology, Inc., a provider of personal delivery, set-up and training for consumer technology products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During 2016:</w:t>
            </w:r>
            <w:r>
              <w:rPr>
                <w:rFonts w:ascii="ARIAL" w:hAnsi="ARIAL"/>
              </w:rPr>
              <w:t xml:space="preserve"> Management Consultant at Google Inc., a multinational technology company and subsidiary of Alphabet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2011 - 2016:</w:t>
            </w:r>
            <w:r>
              <w:rPr>
                <w:rFonts w:ascii="ARIAL" w:hAnsi="ARIAL"/>
              </w:rPr>
              <w:t xml:space="preserve"> Chief Executive Officer of Victoria’s Secret Direct, LLC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2008 - 2011:</w:t>
            </w:r>
            <w:r>
              <w:rPr>
                <w:rFonts w:ascii="ARIAL" w:hAnsi="ARIAL"/>
              </w:rPr>
              <w:t xml:space="preserve"> Management Consultant for various retail brands, consulting on business strategy, merchandising, marketing and organizational development</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2006 - 2007:</w:t>
            </w:r>
            <w:r>
              <w:rPr>
                <w:rFonts w:ascii="ARIAL" w:hAnsi="ARIAL"/>
              </w:rPr>
              <w:t xml:space="preserve"> Chief Executive Officer of the Giorgio Armani Corporation, a U.S. subsidiary of Giorgio Armani S.P.A.</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2004 - 2005:</w:t>
            </w:r>
            <w:r>
              <w:rPr>
                <w:rFonts w:ascii="ARIAL" w:hAnsi="ARIAL"/>
              </w:rPr>
              <w:t xml:space="preserve"> Vice President and Chief Operating Officer of Retail Stores for Apple Computer,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1992 - 2004:</w:t>
            </w:r>
            <w:r>
              <w:rPr>
                <w:rFonts w:ascii="ARIAL" w:hAnsi="ARIAL"/>
              </w:rPr>
              <w:t xml:space="preserve"> Served in a variety of positions, including Group President, Global Retail, at Polo Ralph Lauren Corporation</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Current Public Board Service:</w:t>
            </w:r>
            <w:r>
              <w:rPr>
                <w:rFonts w:ascii="ARIAL" w:hAnsi="ARIAL"/>
                <w:sz w:val="22"/>
              </w:rPr>
              <w:t xml:space="preserve"> Tanger Factory Outlet Centers, Inc. and Asbury Automotive Group, Inc.</w:t>
            </w:r>
          </w:p>
          <w:p>
            <w:pPr>
              <w:pStyle w:val="TableContents"/>
              <w:bidi w:val="0"/>
              <w:spacing w:before="0" w:after="0"/>
              <w:jc w:val="left"/>
              <w:rPr/>
            </w:pPr>
            <w:r>
              <w:rPr/>
              <w:t> </w:t>
            </w:r>
          </w:p>
          <w:p>
            <w:pPr>
              <w:pStyle w:val="TableContents"/>
              <w:bidi w:val="0"/>
              <w:spacing w:before="0" w:after="0"/>
              <w:jc w:val="left"/>
              <w:rPr>
                <w:rFonts w:ascii="ARIAL" w:hAnsi="ARIAL"/>
                <w:sz w:val="22"/>
              </w:rPr>
            </w:pPr>
            <w:r>
              <w:rPr>
                <w:rFonts w:ascii="ARIAL" w:hAnsi="ARIAL"/>
                <w:b/>
                <w:i/>
                <w:sz w:val="22"/>
              </w:rPr>
              <w:t>Former Public Board Service:</w:t>
            </w:r>
            <w:r>
              <w:rPr>
                <w:rFonts w:ascii="ARIAL" w:hAnsi="ARIAL"/>
                <w:sz w:val="22"/>
              </w:rPr>
              <w:t xml:space="preserve"> J. Crew Group, Inc.</w:t>
            </w:r>
          </w:p>
          <w:p>
            <w:pPr>
              <w:pStyle w:val="TableContents"/>
              <w:bidi w:val="0"/>
              <w:spacing w:before="0" w:after="0"/>
              <w:jc w:val="left"/>
              <w:rPr/>
            </w:pPr>
            <w:r>
              <w:rPr/>
              <w:t> </w:t>
            </w:r>
          </w:p>
          <w:p>
            <w:pPr>
              <w:pStyle w:val="TableContents"/>
              <w:bidi w:val="0"/>
              <w:spacing w:before="0" w:after="0"/>
              <w:jc w:val="left"/>
              <w:rPr>
                <w:rFonts w:ascii="ARIAL" w:hAnsi="ARIAL"/>
                <w:b/>
                <w:i/>
                <w:sz w:val="22"/>
              </w:rPr>
            </w:pPr>
            <w:r>
              <w:rPr>
                <w:rFonts w:ascii="ARIAL" w:hAnsi="ARIAL"/>
                <w:b/>
                <w:i/>
                <w:sz w:val="22"/>
              </w:rPr>
              <w:t>Director Qualifications:</w:t>
            </w:r>
          </w:p>
          <w:p>
            <w:pPr>
              <w:pStyle w:val="TableContents"/>
              <w:bidi w:val="0"/>
              <w:spacing w:before="0" w:after="20"/>
              <w:jc w:val="both"/>
              <w:rPr>
                <w:rFonts w:ascii="ARIAL" w:hAnsi="ARIAL"/>
                <w:sz w:val="22"/>
              </w:rPr>
            </w:pPr>
            <w:r>
              <w:rPr>
                <w:rFonts w:ascii="ARIAL" w:hAnsi="ARIAL"/>
                <w:sz w:val="22"/>
              </w:rPr>
              <w:t>Ms. Ryan Berman brings to the Board experience as a seasoned brand and e-commerce executive with over 35 years of experience in retail, and as a senior level executive has helped oversee the strategies and operations of some of the leading brands in the world.</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18"/>
        <w:gridCol w:w="120"/>
        <w:gridCol w:w="7167"/>
      </w:tblGrid>
      <w:tr>
        <w:trPr/>
        <w:tc>
          <w:tcPr>
            <w:tcW w:w="2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67" w:type="dxa"/>
            <w:tcBorders/>
            <w:vAlign w:val="center"/>
          </w:tcPr>
          <w:p>
            <w:pPr>
              <w:pStyle w:val="TableContents"/>
              <w:bidi w:val="0"/>
              <w:spacing w:before="0" w:after="283"/>
              <w:jc w:val="left"/>
              <w:rPr>
                <w:sz w:val="4"/>
                <w:szCs w:val="4"/>
              </w:rPr>
            </w:pPr>
            <w:r>
              <w:rPr>
                <w:sz w:val="4"/>
                <w:szCs w:val="4"/>
              </w:rPr>
            </w:r>
          </w:p>
        </w:tc>
      </w:tr>
      <w:tr>
        <w:trPr/>
        <w:tc>
          <w:tcPr>
            <w:tcW w:w="2918"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179830" cy="11798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79830" cy="1179830"/>
                          </a:xfrm>
                          <a:prstGeom prst="rect">
                            <a:avLst/>
                          </a:prstGeom>
                        </pic:spPr>
                      </pic:pic>
                    </a:graphicData>
                  </a:graphic>
                </wp:inline>
              </w:drawing>
            </w:r>
            <w:r>
              <w:rPr/>
              <w:t xml:space="preserve"> </w:t>
            </w:r>
          </w:p>
          <w:p>
            <w:pPr>
              <w:pStyle w:val="TableContents"/>
              <w:bidi w:val="0"/>
              <w:spacing w:before="0" w:after="0"/>
              <w:jc w:val="center"/>
              <w:rPr>
                <w:rFonts w:ascii="ARIAL" w:hAnsi="ARIAL"/>
                <w:i/>
                <w:sz w:val="22"/>
              </w:rPr>
            </w:pPr>
            <w:r>
              <w:rPr>
                <w:rFonts w:ascii="ARIAL" w:hAnsi="ARIAL"/>
                <w:i/>
                <w:sz w:val="22"/>
              </w:rPr>
              <w:t>Director since 2018</w:t>
            </w:r>
          </w:p>
          <w:p>
            <w:pPr>
              <w:pStyle w:val="TableContents"/>
              <w:bidi w:val="0"/>
              <w:spacing w:before="0" w:after="0"/>
              <w:jc w:val="center"/>
              <w:rPr>
                <w:rFonts w:ascii="ARIAL" w:hAnsi="ARIAL"/>
                <w:i/>
                <w:sz w:val="22"/>
              </w:rPr>
            </w:pPr>
            <w:r>
              <w:rPr>
                <w:rFonts w:ascii="ARIAL" w:hAnsi="ARIAL"/>
                <w:i/>
                <w:sz w:val="22"/>
              </w:rPr>
              <w:t>Age: 73</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Nominating/ Governance Committee (Chair)</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&amp; Human Capital Committee</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16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248EC3"/>
                <w:sz w:val="22"/>
              </w:rPr>
            </w:pPr>
            <w:r>
              <w:rPr>
                <w:rFonts w:ascii="ARIAL" w:hAnsi="ARIAL"/>
                <w:b/>
                <w:i/>
                <w:color w:val="248EC3"/>
                <w:sz w:val="22"/>
              </w:rPr>
              <w:t>Patrick D. Campbell</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2011 - Present:</w:t>
            </w:r>
            <w:r>
              <w:rPr>
                <w:rFonts w:ascii="ARIAL" w:hAnsi="ARIAL"/>
              </w:rPr>
              <w:t xml:space="preserve"> Retired Senior Vice President and Chief Financial Officer of 3M Company</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2002 - 2011:</w:t>
            </w:r>
            <w:r>
              <w:rPr>
                <w:rFonts w:ascii="ARIAL" w:hAnsi="ARIAL"/>
              </w:rPr>
              <w:t xml:space="preserve"> Senior Vice President and Chief Financial Officer of 3M Company</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1977 - 2002:</w:t>
            </w:r>
            <w:r>
              <w:rPr>
                <w:rFonts w:ascii="ARIAL" w:hAnsi="ARIAL"/>
              </w:rPr>
              <w:t xml:space="preserve"> Vice President of International and Europe as well as various finance roles at General Motors Corporation</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Current Public Board Service:</w:t>
            </w:r>
            <w:r>
              <w:rPr>
                <w:rFonts w:ascii="ARIAL" w:hAnsi="ARIAL"/>
                <w:sz w:val="22"/>
              </w:rPr>
              <w:t xml:space="preserve"> Herc Holdings Inc.</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Former Public Board Service:</w:t>
            </w:r>
            <w:r>
              <w:rPr>
                <w:rFonts w:ascii="ARIAL" w:hAnsi="ARIAL"/>
                <w:sz w:val="22"/>
              </w:rPr>
              <w:t xml:space="preserve"> Stanley Black &amp; Decker, Inc., SPX FLOW, Inc., SPX Corporation and Solera Holdings, Inc.</w:t>
            </w:r>
          </w:p>
          <w:p>
            <w:pPr>
              <w:pStyle w:val="TableContents"/>
              <w:bidi w:val="0"/>
              <w:spacing w:before="0" w:after="0"/>
              <w:jc w:val="left"/>
              <w:rPr/>
            </w:pPr>
            <w:r>
              <w:rPr/>
              <w:t> </w:t>
            </w:r>
          </w:p>
          <w:p>
            <w:pPr>
              <w:pStyle w:val="TableContents"/>
              <w:bidi w:val="0"/>
              <w:spacing w:before="0" w:after="0"/>
              <w:jc w:val="left"/>
              <w:rPr>
                <w:rFonts w:ascii="ARIAL" w:hAnsi="ARIAL"/>
                <w:b/>
                <w:i/>
                <w:sz w:val="22"/>
              </w:rPr>
            </w:pPr>
            <w:r>
              <w:rPr>
                <w:rFonts w:ascii="ARIAL" w:hAnsi="ARIAL"/>
                <w:b/>
                <w:i/>
                <w:sz w:val="22"/>
              </w:rPr>
              <w:t>Director Qualifications:</w:t>
            </w:r>
          </w:p>
          <w:p>
            <w:pPr>
              <w:pStyle w:val="TableContents"/>
              <w:bidi w:val="0"/>
              <w:spacing w:before="0" w:after="20"/>
              <w:jc w:val="both"/>
              <w:rPr>
                <w:rFonts w:ascii="ARIAL" w:hAnsi="ARIAL"/>
                <w:sz w:val="22"/>
              </w:rPr>
            </w:pPr>
            <w:r>
              <w:rPr>
                <w:rFonts w:ascii="ARIAL" w:hAnsi="ARIAL"/>
                <w:sz w:val="22"/>
              </w:rPr>
              <w:t>Mr. Campbell brings to the Board knowledge of financial and accounting matters, company capitalization structures and capital markets gained through his tenures at General Motors and 3M Company, which provide him with insight into a variety of issues applicable to the Company. In addition, he was also responsible for mergers and acquisitions as well as information technology in his role at 3M Company, and provides significant expertise in each of those areas.</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3056"/>
        <w:gridCol w:w="120"/>
        <w:gridCol w:w="7029"/>
      </w:tblGrid>
      <w:tr>
        <w:trPr/>
        <w:tc>
          <w:tcPr>
            <w:tcW w:w="30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29" w:type="dxa"/>
            <w:tcBorders/>
            <w:vAlign w:val="center"/>
          </w:tcPr>
          <w:p>
            <w:pPr>
              <w:pStyle w:val="TableContents"/>
              <w:bidi w:val="0"/>
              <w:spacing w:before="0" w:after="283"/>
              <w:jc w:val="left"/>
              <w:rPr>
                <w:sz w:val="4"/>
                <w:szCs w:val="4"/>
              </w:rPr>
            </w:pPr>
            <w:r>
              <w:rPr>
                <w:sz w:val="4"/>
                <w:szCs w:val="4"/>
              </w:rPr>
            </w:r>
          </w:p>
        </w:tc>
      </w:tr>
      <w:tr>
        <w:trPr/>
        <w:tc>
          <w:tcPr>
            <w:tcW w:w="3056"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179830" cy="11798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79830" cy="1179830"/>
                          </a:xfrm>
                          <a:prstGeom prst="rect">
                            <a:avLst/>
                          </a:prstGeom>
                        </pic:spPr>
                      </pic:pic>
                    </a:graphicData>
                  </a:graphic>
                </wp:inline>
              </w:drawing>
            </w:r>
            <w:r>
              <w:rPr/>
              <w:t xml:space="preserve"> </w:t>
            </w:r>
          </w:p>
          <w:p>
            <w:pPr>
              <w:pStyle w:val="TableContents"/>
              <w:bidi w:val="0"/>
              <w:spacing w:before="0" w:after="0"/>
              <w:jc w:val="center"/>
              <w:rPr>
                <w:rFonts w:ascii="ARIAL" w:hAnsi="ARIAL"/>
                <w:i/>
                <w:sz w:val="22"/>
              </w:rPr>
            </w:pPr>
            <w:r>
              <w:rPr>
                <w:rFonts w:ascii="ARIAL" w:hAnsi="ARIAL"/>
                <w:i/>
                <w:sz w:val="22"/>
              </w:rPr>
              <w:t>Director since 2024</w:t>
            </w:r>
          </w:p>
          <w:p>
            <w:pPr>
              <w:pStyle w:val="TableContents"/>
              <w:bidi w:val="0"/>
              <w:spacing w:before="0" w:after="0"/>
              <w:jc w:val="center"/>
              <w:rPr>
                <w:rFonts w:ascii="ARIAL" w:hAnsi="ARIAL"/>
                <w:i/>
                <w:sz w:val="22"/>
              </w:rPr>
            </w:pPr>
            <w:r>
              <w:rPr>
                <w:rFonts w:ascii="ARIAL" w:hAnsi="ARIAL"/>
                <w:i/>
                <w:sz w:val="22"/>
              </w:rPr>
              <w:t>Age: 66</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&amp; Human Capital Committee (Chair)</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029"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248EC3"/>
                <w:sz w:val="22"/>
              </w:rPr>
            </w:pPr>
            <w:r>
              <w:rPr>
                <w:rFonts w:ascii="ARIAL" w:hAnsi="ARIAL"/>
                <w:b/>
                <w:i/>
                <w:color w:val="248EC3"/>
                <w:sz w:val="22"/>
              </w:rPr>
              <w:t>James P. Keane</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2021 - 2022: </w:t>
            </w:r>
            <w:r>
              <w:rPr>
                <w:rFonts w:ascii="ARIAL" w:hAnsi="ARIAL"/>
              </w:rPr>
              <w:t>Vice Chair of Steelcase,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2014 - 2021: </w:t>
            </w:r>
            <w:r>
              <w:rPr>
                <w:rFonts w:ascii="ARIAL" w:hAnsi="ARIAL"/>
              </w:rPr>
              <w:t>President and Chief Executive Officer of Steelcase,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2013 - 2014: </w:t>
            </w:r>
            <w:r>
              <w:rPr>
                <w:rFonts w:ascii="ARIAL" w:hAnsi="ARIAL"/>
              </w:rPr>
              <w:t>President and Chief Operating Officer of Steelcase,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2012 - 2013:</w:t>
            </w:r>
            <w:r>
              <w:rPr>
                <w:rFonts w:ascii="ARIAL" w:hAnsi="ARIAL"/>
              </w:rPr>
              <w:t xml:space="preserve"> Chief Operating Officer of Steelcase,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2006 - 2011:</w:t>
            </w:r>
            <w:r>
              <w:rPr>
                <w:rFonts w:ascii="ARIAL" w:hAnsi="ARIAL"/>
              </w:rPr>
              <w:t xml:space="preserve"> President of Steelcase Group within Steelcase,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2001 - 2006:</w:t>
            </w:r>
            <w:r>
              <w:rPr>
                <w:rFonts w:ascii="ARIAL" w:hAnsi="ARIAL"/>
              </w:rPr>
              <w:t xml:space="preserve"> Senior Vice President and Chief Financial Officer of Steelcase, Inc.</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 xml:space="preserve">Current Public Board Service: </w:t>
            </w:r>
            <w:r>
              <w:rPr>
                <w:rFonts w:ascii="ARIAL" w:hAnsi="ARIAL"/>
                <w:sz w:val="22"/>
              </w:rPr>
              <w:t>Rockwell Automation</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 xml:space="preserve">Former Public Board Service: </w:t>
            </w:r>
            <w:r>
              <w:rPr>
                <w:rFonts w:ascii="ARIAL" w:hAnsi="ARIAL"/>
                <w:sz w:val="22"/>
              </w:rPr>
              <w:t>Steelcase, Inc.</w:t>
            </w:r>
          </w:p>
          <w:p>
            <w:pPr>
              <w:pStyle w:val="TableContents"/>
              <w:bidi w:val="0"/>
              <w:spacing w:before="0" w:after="0"/>
              <w:jc w:val="left"/>
              <w:rPr/>
            </w:pPr>
            <w:r>
              <w:rPr/>
              <w:t> </w:t>
            </w:r>
          </w:p>
          <w:p>
            <w:pPr>
              <w:pStyle w:val="TableContents"/>
              <w:bidi w:val="0"/>
              <w:spacing w:before="0" w:after="0"/>
              <w:jc w:val="left"/>
              <w:rPr>
                <w:rFonts w:ascii="ARIAL" w:hAnsi="ARIAL"/>
                <w:b/>
                <w:i/>
                <w:sz w:val="22"/>
              </w:rPr>
            </w:pPr>
            <w:r>
              <w:rPr>
                <w:rFonts w:ascii="ARIAL" w:hAnsi="ARIAL"/>
                <w:b/>
                <w:i/>
                <w:sz w:val="22"/>
              </w:rPr>
              <w:t>Director Qualifications:</w:t>
            </w:r>
          </w:p>
          <w:p>
            <w:pPr>
              <w:pStyle w:val="TableContents"/>
              <w:bidi w:val="0"/>
              <w:spacing w:before="0" w:after="20"/>
              <w:jc w:val="both"/>
              <w:rPr>
                <w:rFonts w:ascii="ARIAL" w:hAnsi="ARIAL"/>
                <w:sz w:val="22"/>
              </w:rPr>
            </w:pPr>
            <w:r>
              <w:rPr>
                <w:rFonts w:ascii="ARIAL" w:hAnsi="ARIAL"/>
                <w:sz w:val="22"/>
              </w:rPr>
              <w:t>Mr. Keane brings to the Board his experience with Steelcase, Inc., which involved leading global teams responsible for corporate strategy, IT, research, product development, design, engineering, manufacturing, sales and distribution. In addition, Mr. Keane gained significant experience managing accounting processes and finances during his positions as Chief Executive Officer and Chief Financial Officer at Steelcase, Inc.</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96"/>
        <w:gridCol w:w="120"/>
        <w:gridCol w:w="7589"/>
      </w:tblGrid>
      <w:tr>
        <w:trPr/>
        <w:tc>
          <w:tcPr>
            <w:tcW w:w="2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89" w:type="dxa"/>
            <w:tcBorders/>
            <w:vAlign w:val="center"/>
          </w:tcPr>
          <w:p>
            <w:pPr>
              <w:pStyle w:val="TableContents"/>
              <w:bidi w:val="0"/>
              <w:spacing w:before="0" w:after="283"/>
              <w:jc w:val="left"/>
              <w:rPr>
                <w:sz w:val="4"/>
                <w:szCs w:val="4"/>
              </w:rPr>
            </w:pPr>
            <w:r>
              <w:rPr>
                <w:sz w:val="4"/>
                <w:szCs w:val="4"/>
              </w:rPr>
            </w:r>
          </w:p>
        </w:tc>
      </w:tr>
      <w:tr>
        <w:trPr/>
        <w:tc>
          <w:tcPr>
            <w:tcW w:w="2496"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179830" cy="11798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79830" cy="1179830"/>
                          </a:xfrm>
                          <a:prstGeom prst="rect">
                            <a:avLst/>
                          </a:prstGeom>
                        </pic:spPr>
                      </pic:pic>
                    </a:graphicData>
                  </a:graphic>
                </wp:inline>
              </w:drawing>
            </w:r>
            <w:r>
              <w:rPr/>
              <w:t xml:space="preserve"> </w:t>
            </w:r>
          </w:p>
          <w:p>
            <w:pPr>
              <w:pStyle w:val="TableContents"/>
              <w:bidi w:val="0"/>
              <w:spacing w:before="0" w:after="0"/>
              <w:jc w:val="center"/>
              <w:rPr>
                <w:rFonts w:ascii="ARIAL" w:hAnsi="ARIAL"/>
                <w:i/>
                <w:sz w:val="22"/>
              </w:rPr>
            </w:pPr>
            <w:r>
              <w:rPr>
                <w:rFonts w:ascii="ARIAL" w:hAnsi="ARIAL"/>
                <w:i/>
                <w:sz w:val="22"/>
              </w:rPr>
              <w:t>Director since 2018</w:t>
            </w:r>
          </w:p>
          <w:p>
            <w:pPr>
              <w:pStyle w:val="TableContents"/>
              <w:bidi w:val="0"/>
              <w:spacing w:before="0" w:after="0"/>
              <w:jc w:val="center"/>
              <w:rPr>
                <w:rFonts w:ascii="ARIAL" w:hAnsi="ARIAL"/>
                <w:i/>
                <w:sz w:val="22"/>
              </w:rPr>
            </w:pPr>
            <w:r>
              <w:rPr>
                <w:rFonts w:ascii="ARIAL" w:hAnsi="ARIAL"/>
                <w:i/>
                <w:sz w:val="22"/>
              </w:rPr>
              <w:t>Age: 66</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Governance Committee</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89"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248EC3"/>
                <w:sz w:val="22"/>
              </w:rPr>
            </w:pPr>
            <w:r>
              <w:rPr>
                <w:rFonts w:ascii="ARIAL" w:hAnsi="ARIAL"/>
                <w:b/>
                <w:i/>
                <w:color w:val="248EC3"/>
                <w:sz w:val="22"/>
              </w:rPr>
              <w:t>Gerardo I. Lopez</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2021 - 2022:</w:t>
            </w:r>
            <w:r>
              <w:rPr>
                <w:rFonts w:ascii="ARIAL" w:hAnsi="ARIAL"/>
              </w:rPr>
              <w:t xml:space="preserve"> Executive-in-Residence at Softbank Investment Advisers (“</w:t>
            </w:r>
            <w:r>
              <w:rPr>
                <w:rFonts w:ascii="ARIAL" w:hAnsi="ARIAL"/>
                <w:b/>
              </w:rPr>
              <w:t>SBIA</w:t>
            </w:r>
            <w:r>
              <w:rPr>
                <w:rFonts w:ascii="ARIAL" w:hAnsi="ARIAL"/>
              </w:rPr>
              <w:t>”), a subsidiary of Japanese multinational conglomerate Softbank Group Corp.</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2018 - 2021:</w:t>
            </w:r>
            <w:r>
              <w:rPr>
                <w:rFonts w:ascii="ARIAL" w:hAnsi="ARIAL"/>
              </w:rPr>
              <w:t xml:space="preserve"> Operating Partner and Head of Operating Group at SBIA</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2017 - 2018:</w:t>
            </w:r>
            <w:r>
              <w:rPr>
                <w:rFonts w:ascii="ARIAL" w:hAnsi="ARIAL"/>
              </w:rPr>
              <w:t xml:space="preserve"> Operating Partner at High Bluff Capital, a private investment firm focused on consumer facing companies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2015 - 2017:</w:t>
            </w:r>
            <w:r>
              <w:rPr>
                <w:rFonts w:ascii="ARIAL" w:hAnsi="ARIAL"/>
              </w:rPr>
              <w:t xml:space="preserve"> President and Chief Executive Officer of Extended Stay America, Inc. and ESH Hospitality, Inc., the largest integrated owner/operator of company-branded hotels in North America</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2009 - 2015:</w:t>
            </w:r>
            <w:r>
              <w:rPr>
                <w:rFonts w:ascii="ARIAL" w:hAnsi="ARIAL"/>
              </w:rPr>
              <w:t xml:space="preserve"> President and Chief Executive Officer of AMC Entertainment Holdings, Inc. (“</w:t>
            </w:r>
            <w:r>
              <w:rPr>
                <w:rFonts w:ascii="ARIAL" w:hAnsi="ARIAL"/>
                <w:b/>
              </w:rPr>
              <w:t>AMC</w:t>
            </w:r>
            <w:r>
              <w:rPr>
                <w:rFonts w:ascii="ARIAL" w:hAnsi="ARIAL"/>
              </w:rPr>
              <w:t>”)</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2004 - 2009:</w:t>
            </w:r>
            <w:r>
              <w:rPr>
                <w:rFonts w:ascii="ARIAL" w:hAnsi="ARIAL"/>
              </w:rPr>
              <w:t xml:space="preserve"> Executive Vice President of Starbucks Corporation and President of its Global Consumer Products, Seattle’s Best Coffee and Foodservice divisions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2001 - 2004:</w:t>
            </w:r>
            <w:r>
              <w:rPr>
                <w:rFonts w:ascii="ARIAL" w:hAnsi="ARIAL"/>
              </w:rPr>
              <w:t xml:space="preserve"> President of the HandIeman Entertainment Resources division of Handleman Company</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 xml:space="preserve">Current Public Board Service: </w:t>
            </w:r>
            <w:r>
              <w:rPr>
                <w:rFonts w:ascii="ARIAL" w:hAnsi="ARIAL"/>
                <w:sz w:val="22"/>
              </w:rPr>
              <w:t>CBRE Group, Inc., Realty Income Corp. and MGP Ingredients, Inc.</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 xml:space="preserve">Former Public Board Service: </w:t>
            </w:r>
            <w:r>
              <w:rPr>
                <w:rFonts w:ascii="ARIAL" w:hAnsi="ARIAL"/>
                <w:sz w:val="22"/>
              </w:rPr>
              <w:t>Brinker International, Inc., National CineMedia Inc., Extended Stay America, Inc., AMC, TXU Corp. (n/k/a Energy Future Holdings Corp.) and Safeco Corp.</w:t>
            </w:r>
          </w:p>
          <w:p>
            <w:pPr>
              <w:pStyle w:val="TableContents"/>
              <w:bidi w:val="0"/>
              <w:spacing w:before="0" w:after="0"/>
              <w:jc w:val="left"/>
              <w:rPr/>
            </w:pPr>
            <w:r>
              <w:rPr/>
              <w:t> </w:t>
            </w:r>
          </w:p>
          <w:p>
            <w:pPr>
              <w:pStyle w:val="TableContents"/>
              <w:bidi w:val="0"/>
              <w:spacing w:before="0" w:after="0"/>
              <w:jc w:val="left"/>
              <w:rPr>
                <w:rFonts w:ascii="ARIAL" w:hAnsi="ARIAL"/>
                <w:b/>
                <w:i/>
                <w:sz w:val="22"/>
              </w:rPr>
            </w:pPr>
            <w:r>
              <w:rPr>
                <w:rFonts w:ascii="ARIAL" w:hAnsi="ARIAL"/>
                <w:b/>
                <w:i/>
                <w:sz w:val="22"/>
              </w:rPr>
              <w:t>Director Qualifications:</w:t>
            </w:r>
          </w:p>
          <w:p>
            <w:pPr>
              <w:pStyle w:val="TableContents"/>
              <w:bidi w:val="0"/>
              <w:spacing w:before="0" w:after="20"/>
              <w:jc w:val="both"/>
              <w:rPr>
                <w:rFonts w:ascii="ARIAL" w:hAnsi="ARIAL"/>
                <w:sz w:val="22"/>
              </w:rPr>
            </w:pPr>
            <w:r>
              <w:rPr>
                <w:rFonts w:ascii="ARIAL" w:hAnsi="ARIAL"/>
                <w:sz w:val="22"/>
              </w:rPr>
              <w:t>Mr. Lopez brings to the Board over three decades of experience in consumer focused industries. In addition, he has overseen a variety of corporate transformations and brings significant expertise in that area.</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900"/>
        <w:gridCol w:w="120"/>
        <w:gridCol w:w="8185"/>
      </w:tblGrid>
      <w:tr>
        <w:trPr/>
        <w:tc>
          <w:tcPr>
            <w:tcW w:w="1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1900"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179830" cy="11798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79830" cy="1179830"/>
                          </a:xfrm>
                          <a:prstGeom prst="rect">
                            <a:avLst/>
                          </a:prstGeom>
                        </pic:spPr>
                      </pic:pic>
                    </a:graphicData>
                  </a:graphic>
                </wp:inline>
              </w:drawing>
            </w:r>
            <w:r>
              <w:rPr/>
              <w:t xml:space="preserve"> </w:t>
            </w:r>
          </w:p>
          <w:p>
            <w:pPr>
              <w:pStyle w:val="TableContents"/>
              <w:bidi w:val="0"/>
              <w:spacing w:before="0" w:after="0"/>
              <w:jc w:val="center"/>
              <w:rPr>
                <w:rFonts w:ascii="ARIAL" w:hAnsi="ARIAL"/>
                <w:i/>
                <w:sz w:val="22"/>
              </w:rPr>
            </w:pPr>
            <w:r>
              <w:rPr>
                <w:rFonts w:ascii="ARIAL" w:hAnsi="ARIAL"/>
                <w:i/>
                <w:sz w:val="22"/>
              </w:rPr>
              <w:t>President and CEO,</w:t>
            </w:r>
          </w:p>
          <w:p>
            <w:pPr>
              <w:pStyle w:val="TableContents"/>
              <w:bidi w:val="0"/>
              <w:spacing w:before="0" w:after="0"/>
              <w:jc w:val="center"/>
              <w:rPr>
                <w:rFonts w:ascii="ARIAL" w:hAnsi="ARIAL"/>
                <w:i/>
                <w:sz w:val="22"/>
              </w:rPr>
            </w:pPr>
            <w:r>
              <w:rPr>
                <w:rFonts w:ascii="ARIAL" w:hAnsi="ARIAL"/>
                <w:i/>
                <w:sz w:val="22"/>
              </w:rPr>
              <w:t>Newell Brands Inc.</w:t>
            </w:r>
          </w:p>
          <w:p>
            <w:pPr>
              <w:pStyle w:val="TableContents"/>
              <w:bidi w:val="0"/>
              <w:spacing w:before="0" w:after="0"/>
              <w:jc w:val="center"/>
              <w:rPr>
                <w:rFonts w:ascii="ARIAL" w:hAnsi="ARIAL"/>
                <w:i/>
                <w:sz w:val="22"/>
              </w:rPr>
            </w:pPr>
            <w:r>
              <w:rPr>
                <w:rFonts w:ascii="ARIAL" w:hAnsi="ARIAL"/>
                <w:i/>
                <w:sz w:val="22"/>
              </w:rPr>
              <w:t>Director since 2023</w:t>
            </w:r>
          </w:p>
          <w:p>
            <w:pPr>
              <w:pStyle w:val="TableContents"/>
              <w:bidi w:val="0"/>
              <w:spacing w:before="0" w:after="20"/>
              <w:jc w:val="center"/>
              <w:rPr>
                <w:rFonts w:ascii="ARIAL" w:hAnsi="ARIAL"/>
                <w:i/>
                <w:sz w:val="22"/>
              </w:rPr>
            </w:pPr>
            <w:r>
              <w:rPr>
                <w:rFonts w:ascii="ARIAL" w:hAnsi="ARIAL"/>
                <w:i/>
                <w:sz w:val="22"/>
              </w:rPr>
              <w:t>Age: 59</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18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248EC3"/>
                <w:sz w:val="22"/>
              </w:rPr>
            </w:pPr>
            <w:r>
              <w:rPr>
                <w:rFonts w:ascii="ARIAL" w:hAnsi="ARIAL"/>
                <w:b/>
                <w:i/>
                <w:color w:val="248EC3"/>
                <w:sz w:val="22"/>
              </w:rPr>
              <w:t>Christopher H. Peterson</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2023 - Present:</w:t>
            </w:r>
            <w:r>
              <w:rPr>
                <w:rFonts w:ascii="ARIAL" w:hAnsi="ARIAL"/>
              </w:rPr>
              <w:t xml:space="preserve"> President and Chief Executive Officer of Newell Brands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2022 - 2023: </w:t>
            </w:r>
            <w:r>
              <w:rPr>
                <w:rFonts w:ascii="ARIAL" w:hAnsi="ARIAL"/>
              </w:rPr>
              <w:t>Chief Financial Officer and President of Newell Brands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2020 - 2022: </w:t>
            </w:r>
            <w:r>
              <w:rPr>
                <w:rFonts w:ascii="ARIAL" w:hAnsi="ARIAL"/>
              </w:rPr>
              <w:t>Chief Financial Officer and President, Business Operations of Newell Brands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During 2019: </w:t>
            </w:r>
            <w:r>
              <w:rPr>
                <w:rFonts w:ascii="ARIAL" w:hAnsi="ARIAL"/>
              </w:rPr>
              <w:t>Interim Chief Executive Officer and Chief Financial Officer of Newell Brands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2018 - 2019: </w:t>
            </w:r>
            <w:r>
              <w:rPr>
                <w:rFonts w:ascii="ARIAL" w:hAnsi="ARIAL"/>
              </w:rPr>
              <w:t>Chief Financial Officer of Newell Brands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During 2018: </w:t>
            </w:r>
            <w:r>
              <w:rPr>
                <w:rFonts w:ascii="ARIAL" w:hAnsi="ARIAL"/>
              </w:rPr>
              <w:t>Executive Vice President and Chief Operating Officer, Operations at Revlon,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2017 - 2018: </w:t>
            </w:r>
            <w:r>
              <w:rPr>
                <w:rFonts w:ascii="ARIAL" w:hAnsi="ARIAL"/>
              </w:rPr>
              <w:t>Chief Operating Officer, Operations and Chief Financial Officer at Revlon,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2012 - 2017: </w:t>
            </w:r>
            <w:r>
              <w:rPr>
                <w:rFonts w:ascii="ARIAL" w:hAnsi="ARIAL"/>
              </w:rPr>
              <w:t>Various senior positions at Ralph Lauren Corporation including President, Global Brands, Chief Administrative Officer and Chief Financial Officer and Senior Vice President</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1992 - 2012: </w:t>
            </w:r>
            <w:r>
              <w:rPr>
                <w:rFonts w:ascii="ARIAL" w:hAnsi="ARIAL"/>
              </w:rPr>
              <w:t>Various financial management positions at the Procter </w:t>
            </w:r>
            <w:r>
              <w:rPr>
                <w:rFonts w:ascii="ARIAL" w:hAnsi="ARIAL"/>
                <w:i/>
              </w:rPr>
              <w:t xml:space="preserve">&amp; </w:t>
            </w:r>
            <w:r>
              <w:rPr>
                <w:rFonts w:ascii="ARIAL" w:hAnsi="ARIAL"/>
              </w:rPr>
              <w:t>Gamble Company</w:t>
            </w:r>
          </w:p>
          <w:p>
            <w:pPr>
              <w:pStyle w:val="TableContents"/>
              <w:bidi w:val="0"/>
              <w:spacing w:before="0" w:after="0"/>
              <w:jc w:val="left"/>
              <w:rPr/>
            </w:pPr>
            <w:r>
              <w:rPr/>
              <w:t> </w:t>
            </w:r>
          </w:p>
          <w:p>
            <w:pPr>
              <w:pStyle w:val="TableContents"/>
              <w:bidi w:val="0"/>
              <w:spacing w:before="0" w:after="0"/>
              <w:jc w:val="left"/>
              <w:rPr>
                <w:rFonts w:ascii="ARIAL" w:hAnsi="ARIAL"/>
                <w:sz w:val="22"/>
              </w:rPr>
            </w:pPr>
            <w:r>
              <w:rPr>
                <w:rFonts w:ascii="ARIAL" w:hAnsi="ARIAL"/>
                <w:b/>
                <w:i/>
                <w:sz w:val="22"/>
              </w:rPr>
              <w:t xml:space="preserve">Current Public Board Service: </w:t>
            </w:r>
            <w:r>
              <w:rPr>
                <w:rFonts w:ascii="ARIAL" w:hAnsi="ARIAL"/>
                <w:sz w:val="22"/>
              </w:rPr>
              <w:t>BJ’s Wholesale Club Holdings, Inc.</w:t>
            </w:r>
          </w:p>
          <w:p>
            <w:pPr>
              <w:pStyle w:val="TableContents"/>
              <w:bidi w:val="0"/>
              <w:spacing w:before="0" w:after="0"/>
              <w:jc w:val="left"/>
              <w:rPr/>
            </w:pPr>
            <w:r>
              <w:rPr/>
              <w:t> </w:t>
            </w:r>
          </w:p>
          <w:p>
            <w:pPr>
              <w:pStyle w:val="TableContents"/>
              <w:bidi w:val="0"/>
              <w:spacing w:before="0" w:after="0"/>
              <w:jc w:val="left"/>
              <w:rPr>
                <w:rFonts w:ascii="ARIAL" w:hAnsi="ARIAL"/>
                <w:b/>
                <w:i/>
                <w:sz w:val="22"/>
              </w:rPr>
            </w:pPr>
            <w:r>
              <w:rPr>
                <w:rFonts w:ascii="ARIAL" w:hAnsi="ARIAL"/>
                <w:b/>
                <w:i/>
                <w:sz w:val="22"/>
              </w:rPr>
              <w:t>Director Qualifications:</w:t>
            </w:r>
          </w:p>
          <w:p>
            <w:pPr>
              <w:pStyle w:val="TableContents"/>
              <w:bidi w:val="0"/>
              <w:spacing w:before="0" w:after="20"/>
              <w:jc w:val="both"/>
              <w:rPr>
                <w:rFonts w:ascii="ARIAL" w:hAnsi="ARIAL"/>
                <w:sz w:val="22"/>
              </w:rPr>
            </w:pPr>
            <w:r>
              <w:rPr>
                <w:rFonts w:ascii="ARIAL" w:hAnsi="ARIAL"/>
                <w:sz w:val="22"/>
              </w:rPr>
              <w:t>Mr. Peterson brings to the Board an extensive background in consumer goods, retail, finance, strategy and global operations as well as experience leading corporate restructuring supply chain and transformation programs. He also brings an important perspective to the Board as the President and Chief Executive Officer of the Company.</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3235"/>
        <w:gridCol w:w="120"/>
        <w:gridCol w:w="6850"/>
      </w:tblGrid>
      <w:tr>
        <w:trPr/>
        <w:tc>
          <w:tcPr>
            <w:tcW w:w="3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50" w:type="dxa"/>
            <w:tcBorders/>
            <w:vAlign w:val="center"/>
          </w:tcPr>
          <w:p>
            <w:pPr>
              <w:pStyle w:val="TableContents"/>
              <w:bidi w:val="0"/>
              <w:spacing w:before="0" w:after="283"/>
              <w:jc w:val="left"/>
              <w:rPr>
                <w:sz w:val="4"/>
                <w:szCs w:val="4"/>
              </w:rPr>
            </w:pPr>
            <w:r>
              <w:rPr>
                <w:sz w:val="4"/>
                <w:szCs w:val="4"/>
              </w:rPr>
            </w:r>
          </w:p>
        </w:tc>
      </w:tr>
      <w:tr>
        <w:trPr/>
        <w:tc>
          <w:tcPr>
            <w:tcW w:w="3235"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184275" cy="117983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84275" cy="1179830"/>
                          </a:xfrm>
                          <a:prstGeom prst="rect">
                            <a:avLst/>
                          </a:prstGeom>
                        </pic:spPr>
                      </pic:pic>
                    </a:graphicData>
                  </a:graphic>
                </wp:inline>
              </w:drawing>
            </w:r>
            <w:r>
              <w:rPr/>
              <w:t xml:space="preserve"> </w:t>
            </w:r>
          </w:p>
          <w:p>
            <w:pPr>
              <w:pStyle w:val="TableContents"/>
              <w:bidi w:val="0"/>
              <w:spacing w:before="0" w:after="0"/>
              <w:jc w:val="center"/>
              <w:rPr>
                <w:rFonts w:ascii="ARIAL" w:hAnsi="ARIAL"/>
                <w:i/>
                <w:sz w:val="22"/>
              </w:rPr>
            </w:pPr>
            <w:r>
              <w:rPr>
                <w:rFonts w:ascii="ARIAL" w:hAnsi="ARIAL"/>
                <w:i/>
                <w:sz w:val="22"/>
              </w:rPr>
              <w:t>Director since 2025</w:t>
            </w:r>
          </w:p>
          <w:p>
            <w:pPr>
              <w:pStyle w:val="TableContents"/>
              <w:bidi w:val="0"/>
              <w:spacing w:before="0" w:after="0"/>
              <w:jc w:val="center"/>
              <w:rPr>
                <w:rFonts w:ascii="ARIAL" w:hAnsi="ARIAL"/>
                <w:i/>
                <w:sz w:val="22"/>
              </w:rPr>
            </w:pPr>
            <w:r>
              <w:rPr>
                <w:rFonts w:ascii="ARIAL" w:hAnsi="ARIAL"/>
                <w:i/>
                <w:sz w:val="22"/>
              </w:rPr>
              <w:t>Age: 61</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&amp; Human Capital Committee</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85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248EC3"/>
                <w:sz w:val="22"/>
              </w:rPr>
            </w:pPr>
            <w:r>
              <w:rPr>
                <w:rFonts w:ascii="ARIAL" w:hAnsi="ARIAL"/>
                <w:b/>
                <w:i/>
                <w:color w:val="248EC3"/>
                <w:sz w:val="22"/>
              </w:rPr>
              <w:t>Gary H. Pilnick</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2023 - 2025:</w:t>
            </w:r>
            <w:r>
              <w:rPr>
                <w:rFonts w:ascii="ARIAL" w:hAnsi="ARIAL"/>
              </w:rPr>
              <w:t> Chairman and Chief Executive Officer of WK Kellogg Co</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2016 - 2023: </w:t>
            </w:r>
            <w:r>
              <w:rPr>
                <w:rFonts w:ascii="ARIAL" w:hAnsi="ARIAL"/>
              </w:rPr>
              <w:t>Vice Chairman, Corporate Development and Chief Legal Officer of Kellogg Company</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2004 - 2016: </w:t>
            </w:r>
            <w:r>
              <w:rPr>
                <w:rFonts w:ascii="ARIAL" w:hAnsi="ARIAL"/>
              </w:rPr>
              <w:t>Senior Vice President, Corporate Development, General Counsel and Secretary of Kellogg Company</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2000 - 2003: </w:t>
            </w:r>
            <w:r>
              <w:rPr>
                <w:rFonts w:ascii="ARIAL" w:hAnsi="ARIAL"/>
              </w:rPr>
              <w:t>Vice President, Deputy General Counsel and Assistant Secretary of Kellogg Company</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1999 - 2000: </w:t>
            </w:r>
            <w:r>
              <w:rPr>
                <w:rFonts w:ascii="ARIAL" w:hAnsi="ARIAL"/>
              </w:rPr>
              <w:t>Vice President and Chief Counsel of Sara Lee Branded Apparel</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1995 - 1997: </w:t>
            </w:r>
            <w:r>
              <w:rPr>
                <w:rFonts w:ascii="ARIAL" w:hAnsi="ARIAL"/>
              </w:rPr>
              <w:t>Vice President and Chief Counsel, Corporate Development and Finance at Sara Lee Corporation</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 xml:space="preserve">Former Public Board Service: </w:t>
            </w:r>
            <w:r>
              <w:rPr>
                <w:rFonts w:ascii="ARIAL" w:hAnsi="ARIAL"/>
                <w:sz w:val="22"/>
              </w:rPr>
              <w:t>WK Kellogg Co</w:t>
            </w:r>
          </w:p>
          <w:p>
            <w:pPr>
              <w:pStyle w:val="TableContents"/>
              <w:bidi w:val="0"/>
              <w:spacing w:before="0" w:after="0"/>
              <w:jc w:val="left"/>
              <w:rPr/>
            </w:pPr>
            <w:r>
              <w:rPr/>
              <w:t> </w:t>
            </w:r>
          </w:p>
          <w:p>
            <w:pPr>
              <w:pStyle w:val="TableContents"/>
              <w:bidi w:val="0"/>
              <w:spacing w:before="0" w:after="0"/>
              <w:jc w:val="both"/>
              <w:rPr>
                <w:rFonts w:ascii="ARIAL" w:hAnsi="ARIAL"/>
                <w:b/>
                <w:i/>
                <w:sz w:val="22"/>
              </w:rPr>
            </w:pPr>
            <w:r>
              <w:rPr>
                <w:rFonts w:ascii="ARIAL" w:hAnsi="ARIAL"/>
                <w:b/>
                <w:i/>
                <w:sz w:val="22"/>
              </w:rPr>
              <w:t>Director Qualifications:</w:t>
            </w:r>
          </w:p>
          <w:p>
            <w:pPr>
              <w:pStyle w:val="TableContents"/>
              <w:bidi w:val="0"/>
              <w:spacing w:before="0" w:after="20"/>
              <w:jc w:val="both"/>
              <w:rPr>
                <w:rFonts w:ascii="ARIAL" w:hAnsi="ARIAL"/>
                <w:sz w:val="22"/>
              </w:rPr>
            </w:pPr>
            <w:r>
              <w:rPr>
                <w:rFonts w:ascii="ARIAL" w:hAnsi="ARIAL"/>
                <w:sz w:val="22"/>
              </w:rPr>
              <w:t>Mr. Pilnick brings to the Board an extensive background in public company leadership, people management, marketing, innovation, brand building, mergers and acquisitions, and business development.</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3183"/>
        <w:gridCol w:w="120"/>
        <w:gridCol w:w="6902"/>
      </w:tblGrid>
      <w:tr>
        <w:trPr/>
        <w:tc>
          <w:tcPr>
            <w:tcW w:w="31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02" w:type="dxa"/>
            <w:tcBorders/>
            <w:vAlign w:val="center"/>
          </w:tcPr>
          <w:p>
            <w:pPr>
              <w:pStyle w:val="TableContents"/>
              <w:bidi w:val="0"/>
              <w:spacing w:before="0" w:after="283"/>
              <w:jc w:val="left"/>
              <w:rPr>
                <w:sz w:val="4"/>
                <w:szCs w:val="4"/>
              </w:rPr>
            </w:pPr>
            <w:r>
              <w:rPr>
                <w:sz w:val="4"/>
                <w:szCs w:val="4"/>
              </w:rPr>
            </w:r>
          </w:p>
        </w:tc>
      </w:tr>
      <w:tr>
        <w:trPr/>
        <w:tc>
          <w:tcPr>
            <w:tcW w:w="3183"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179830" cy="1177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79830" cy="1177925"/>
                          </a:xfrm>
                          <a:prstGeom prst="rect">
                            <a:avLst/>
                          </a:prstGeom>
                        </pic:spPr>
                      </pic:pic>
                    </a:graphicData>
                  </a:graphic>
                </wp:inline>
              </w:drawing>
            </w:r>
            <w:r>
              <w:rPr/>
              <w:t xml:space="preserve"> </w:t>
            </w:r>
          </w:p>
          <w:p>
            <w:pPr>
              <w:pStyle w:val="TableContents"/>
              <w:bidi w:val="0"/>
              <w:spacing w:before="0" w:after="0"/>
              <w:jc w:val="center"/>
              <w:rPr>
                <w:rFonts w:ascii="ARIAL" w:hAnsi="ARIAL"/>
                <w:i/>
                <w:sz w:val="22"/>
              </w:rPr>
            </w:pPr>
            <w:r>
              <w:rPr>
                <w:rFonts w:ascii="ARIAL" w:hAnsi="ARIAL"/>
                <w:i/>
                <w:sz w:val="22"/>
              </w:rPr>
              <w:t>Director since 2023</w:t>
            </w:r>
          </w:p>
          <w:p>
            <w:pPr>
              <w:pStyle w:val="TableContents"/>
              <w:bidi w:val="0"/>
              <w:spacing w:before="0" w:after="0"/>
              <w:jc w:val="center"/>
              <w:rPr>
                <w:rFonts w:ascii="ARIAL" w:hAnsi="ARIAL"/>
                <w:i/>
                <w:sz w:val="22"/>
              </w:rPr>
            </w:pPr>
            <w:r>
              <w:rPr>
                <w:rFonts w:ascii="ARIAL" w:hAnsi="ARIAL"/>
                <w:i/>
                <w:sz w:val="22"/>
              </w:rPr>
              <w:t>Age: 59</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Governance Committee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&amp; Human Capital Committee</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902"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248EC3"/>
                <w:sz w:val="22"/>
              </w:rPr>
            </w:pPr>
            <w:r>
              <w:rPr>
                <w:rFonts w:ascii="ARIAL" w:hAnsi="ARIAL"/>
                <w:b/>
                <w:i/>
                <w:color w:val="248EC3"/>
                <w:sz w:val="22"/>
              </w:rPr>
              <w:t>Stephanie P. Stahl</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2022 - Present: </w:t>
            </w:r>
            <w:r>
              <w:rPr>
                <w:rFonts w:ascii="ARIAL" w:hAnsi="ARIAL"/>
              </w:rPr>
              <w:t>Senior Advisor at Boston Consulting Group (“</w:t>
            </w:r>
            <w:r>
              <w:rPr>
                <w:rFonts w:ascii="ARIAL" w:hAnsi="ARIAL"/>
                <w:b/>
              </w:rPr>
              <w:t>BCG</w:t>
            </w:r>
            <w:r>
              <w:rPr>
                <w:rFonts w:ascii="ARIAL" w:hAnsi="ARIAL"/>
              </w:rPr>
              <w:t>”)</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2015 - Present:</w:t>
            </w:r>
            <w:r>
              <w:rPr>
                <w:rFonts w:ascii="ARIAL" w:hAnsi="ARIAL"/>
              </w:rPr>
              <w:t xml:space="preserve"> Founder of Studio Pegasus, an early stage advisory and angel investing company</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2017 - 2021: </w:t>
            </w:r>
            <w:r>
              <w:rPr>
                <w:rFonts w:ascii="ARIAL" w:hAnsi="ARIAL"/>
              </w:rPr>
              <w:t>Chief Executive Officer and Co-Founder at Ace of Air, a B Corp certified sustainable beauty venture</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2012 - 2015: </w:t>
            </w:r>
            <w:r>
              <w:rPr>
                <w:rFonts w:ascii="ARIAL" w:hAnsi="ARIAL"/>
              </w:rPr>
              <w:t>Global Marketing and Strategy Officer at Coach, Inc.</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Prior to 2012: </w:t>
            </w:r>
            <w:r>
              <w:rPr>
                <w:rFonts w:ascii="ARIAL" w:hAnsi="ARIAL"/>
              </w:rPr>
              <w:t>Executive positions at several leading retail and consumer products companies and partner at BCG</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 xml:space="preserve">Current Public Board Service: </w:t>
            </w:r>
            <w:r>
              <w:rPr>
                <w:rFonts w:ascii="ARIAL" w:hAnsi="ARIAL"/>
                <w:sz w:val="22"/>
              </w:rPr>
              <w:t>Edgewell Personal Care Company, Dollar Tree, Inc. and Carter’s Inc.</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Former Public Board Service:</w:t>
            </w:r>
            <w:r>
              <w:rPr>
                <w:rFonts w:ascii="ARIAL" w:hAnsi="ARIAL"/>
                <w:sz w:val="22"/>
              </w:rPr>
              <w:t xml:space="preserve"> Knoll, Inc.</w:t>
            </w:r>
          </w:p>
          <w:p>
            <w:pPr>
              <w:pStyle w:val="TableContents"/>
              <w:bidi w:val="0"/>
              <w:spacing w:before="0" w:after="0"/>
              <w:jc w:val="left"/>
              <w:rPr/>
            </w:pPr>
            <w:r>
              <w:rPr/>
              <w:t> </w:t>
            </w:r>
          </w:p>
          <w:p>
            <w:pPr>
              <w:pStyle w:val="TableContents"/>
              <w:bidi w:val="0"/>
              <w:spacing w:before="0" w:after="0"/>
              <w:jc w:val="both"/>
              <w:rPr>
                <w:rFonts w:ascii="ARIAL" w:hAnsi="ARIAL"/>
                <w:b/>
                <w:i/>
                <w:sz w:val="22"/>
              </w:rPr>
            </w:pPr>
            <w:r>
              <w:rPr>
                <w:rFonts w:ascii="ARIAL" w:hAnsi="ARIAL"/>
                <w:b/>
                <w:i/>
                <w:sz w:val="22"/>
              </w:rPr>
              <w:t>Director Qualifications:</w:t>
            </w:r>
          </w:p>
          <w:p>
            <w:pPr>
              <w:pStyle w:val="TableContents"/>
              <w:bidi w:val="0"/>
              <w:spacing w:before="0" w:after="20"/>
              <w:jc w:val="both"/>
              <w:rPr>
                <w:rFonts w:ascii="ARIAL" w:hAnsi="ARIAL"/>
                <w:sz w:val="22"/>
              </w:rPr>
            </w:pPr>
            <w:r>
              <w:rPr>
                <w:rFonts w:ascii="ARIAL" w:hAnsi="ARIAL"/>
                <w:sz w:val="22"/>
              </w:rPr>
              <w:t>Ms. Stahl is a consumer driven and sustainability focused leader, who brings to the Board extensive experience within the consumer sector in marketing, data analytics, digital, sustainability, brand building and strategic planning.</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17"/>
        <w:gridCol w:w="120"/>
        <w:gridCol w:w="7768"/>
      </w:tblGrid>
      <w:tr>
        <w:trPr/>
        <w:tc>
          <w:tcPr>
            <w:tcW w:w="23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68" w:type="dxa"/>
            <w:tcBorders/>
            <w:vAlign w:val="center"/>
          </w:tcPr>
          <w:p>
            <w:pPr>
              <w:pStyle w:val="TableContents"/>
              <w:bidi w:val="0"/>
              <w:spacing w:before="0" w:after="283"/>
              <w:jc w:val="left"/>
              <w:rPr>
                <w:sz w:val="4"/>
                <w:szCs w:val="4"/>
              </w:rPr>
            </w:pPr>
            <w:r>
              <w:rPr>
                <w:sz w:val="4"/>
                <w:szCs w:val="4"/>
              </w:rPr>
            </w:r>
          </w:p>
        </w:tc>
      </w:tr>
      <w:tr>
        <w:trPr/>
        <w:tc>
          <w:tcPr>
            <w:tcW w:w="2317"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179830" cy="117983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79830" cy="1179830"/>
                          </a:xfrm>
                          <a:prstGeom prst="rect">
                            <a:avLst/>
                          </a:prstGeom>
                        </pic:spPr>
                      </pic:pic>
                    </a:graphicData>
                  </a:graphic>
                </wp:inline>
              </w:drawing>
            </w:r>
            <w:r>
              <w:rPr/>
              <w:t xml:space="preserve"> </w:t>
            </w:r>
          </w:p>
          <w:p>
            <w:pPr>
              <w:pStyle w:val="TableContents"/>
              <w:bidi w:val="0"/>
              <w:spacing w:before="0" w:after="0"/>
              <w:jc w:val="center"/>
              <w:rPr>
                <w:rFonts w:ascii="ARIAL" w:hAnsi="ARIAL"/>
                <w:i/>
                <w:sz w:val="22"/>
              </w:rPr>
            </w:pPr>
            <w:r>
              <w:rPr>
                <w:rFonts w:ascii="ARIAL" w:hAnsi="ARIAL"/>
                <w:i/>
                <w:sz w:val="22"/>
              </w:rPr>
              <w:t>Director since 2024</w:t>
            </w:r>
          </w:p>
          <w:p>
            <w:pPr>
              <w:pStyle w:val="TableContents"/>
              <w:bidi w:val="0"/>
              <w:spacing w:before="0" w:after="0"/>
              <w:jc w:val="center"/>
              <w:rPr>
                <w:rFonts w:ascii="ARIAL" w:hAnsi="ARIAL"/>
                <w:i/>
                <w:sz w:val="22"/>
              </w:rPr>
            </w:pPr>
            <w:r>
              <w:rPr>
                <w:rFonts w:ascii="ARIAL" w:hAnsi="ARIAL"/>
                <w:i/>
                <w:sz w:val="22"/>
              </w:rPr>
              <w:t>Age: 58</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Committee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Nominating/ Governance Committee</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768"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248EC3"/>
                <w:sz w:val="22"/>
              </w:rPr>
            </w:pPr>
            <w:r>
              <w:rPr>
                <w:rFonts w:ascii="ARIAL" w:hAnsi="ARIAL"/>
                <w:b/>
                <w:i/>
                <w:color w:val="248EC3"/>
                <w:sz w:val="22"/>
              </w:rPr>
              <w:t>Anthony Terry</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2021 - 2023:</w:t>
            </w:r>
            <w:r>
              <w:rPr>
                <w:rFonts w:ascii="ARIAL" w:hAnsi="ARIAL"/>
              </w:rPr>
              <w:t xml:space="preserve"> Executive Vice President and Chief Financial Officer of Marriott Vacations Worldwide Corporation (“</w:t>
            </w:r>
            <w:r>
              <w:rPr>
                <w:rFonts w:ascii="ARIAL" w:hAnsi="ARIAL"/>
                <w:b/>
              </w:rPr>
              <w:t>MVW</w:t>
            </w:r>
            <w:r>
              <w:rPr>
                <w:rFonts w:ascii="ARIAL" w:hAnsi="ARIAL"/>
              </w:rPr>
              <w:t>”)</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2005 - 2021:</w:t>
            </w:r>
            <w:r>
              <w:rPr>
                <w:rFonts w:ascii="ARIAL" w:hAnsi="ARIAL"/>
              </w:rPr>
              <w:t> Senior Vice President, Global Operational Finance of MVW</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1996 - 2005:</w:t>
            </w:r>
            <w:r>
              <w:rPr>
                <w:rFonts w:ascii="ARIAL" w:hAnsi="ARIAL"/>
              </w:rPr>
              <w:t xml:space="preserve"> Various management roles at MVW</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b/>
                <w:i/>
              </w:rPr>
              <w:t xml:space="preserve">Prior to 1996: </w:t>
            </w:r>
            <w:r>
              <w:rPr>
                <w:rFonts w:ascii="ARIAL" w:hAnsi="ARIAL"/>
              </w:rPr>
              <w:t>Various management positions at The Walt Disney Company and Arthur Andersen, LLP</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b/>
                <w:i/>
                <w:sz w:val="22"/>
              </w:rPr>
              <w:t>Current Public Board Service:</w:t>
            </w:r>
            <w:r>
              <w:rPr>
                <w:rFonts w:ascii="ARIAL" w:hAnsi="ARIAL"/>
                <w:sz w:val="22"/>
              </w:rPr>
              <w:t xml:space="preserve"> Phillips Edison &amp; Company</w:t>
            </w:r>
          </w:p>
          <w:p>
            <w:pPr>
              <w:pStyle w:val="TableContents"/>
              <w:bidi w:val="0"/>
              <w:spacing w:before="0" w:after="0"/>
              <w:jc w:val="left"/>
              <w:rPr/>
            </w:pPr>
            <w:r>
              <w:rPr/>
              <w:t> </w:t>
            </w:r>
          </w:p>
          <w:p>
            <w:pPr>
              <w:pStyle w:val="TableContents"/>
              <w:bidi w:val="0"/>
              <w:spacing w:before="0" w:after="0"/>
              <w:jc w:val="left"/>
              <w:rPr>
                <w:rFonts w:ascii="ARIAL" w:hAnsi="ARIAL"/>
                <w:b/>
                <w:i/>
                <w:sz w:val="22"/>
              </w:rPr>
            </w:pPr>
            <w:r>
              <w:rPr>
                <w:rFonts w:ascii="ARIAL" w:hAnsi="ARIAL"/>
                <w:b/>
                <w:i/>
                <w:sz w:val="22"/>
              </w:rPr>
              <w:t>Director Qualifications:</w:t>
            </w:r>
          </w:p>
          <w:p>
            <w:pPr>
              <w:pStyle w:val="TableContents"/>
              <w:bidi w:val="0"/>
              <w:spacing w:before="0" w:after="20"/>
              <w:jc w:val="both"/>
              <w:rPr>
                <w:rFonts w:ascii="ARIAL" w:hAnsi="ARIAL"/>
                <w:sz w:val="22"/>
              </w:rPr>
            </w:pPr>
            <w:r>
              <w:rPr>
                <w:rFonts w:ascii="ARIAL" w:hAnsi="ARIAL"/>
                <w:sz w:val="22"/>
              </w:rPr>
              <w:t>Mr. Terry brings to the Board extensive experience in financial analysis, strategic planning and operations. He spent over 26 years at MVW and, prior to becoming the company’s CFO, Mr. Terry held a variety of leadership roles in accounting, finance, inventory optimization and strategic planning.</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248EC3"/>
          <w:sz w:val="22"/>
        </w:rPr>
      </w:pPr>
      <w:bookmarkStart w:id="6" w:name="toc52719_4"/>
      <w:bookmarkEnd w:id="6"/>
      <w:r>
        <w:rPr>
          <w:rFonts w:ascii="ARIAL" w:hAnsi="ARIAL"/>
          <w:b/>
          <w:color w:val="248EC3"/>
          <w:sz w:val="22"/>
        </w:rPr>
        <w:t xml:space="preserve">INFORMATION REGARDING BOARD OF DIRECTORS AND COMMITTEES </w:t>
      </w:r>
    </w:p>
    <w:p>
      <w:pPr>
        <w:pStyle w:val="TextBody"/>
        <w:bidi w:val="0"/>
        <w:spacing w:before="0" w:after="0"/>
        <w:jc w:val="center"/>
        <w:rPr>
          <w:rFonts w:ascii="ARIAL" w:hAnsi="ARIAL"/>
          <w:b/>
          <w:color w:val="248EC3"/>
          <w:sz w:val="22"/>
        </w:rPr>
      </w:pPr>
      <w:r>
        <w:rPr>
          <w:rFonts w:ascii="ARIAL" w:hAnsi="ARIAL"/>
          <w:b/>
          <w:color w:val="248EC3"/>
          <w:sz w:val="22"/>
        </w:rPr>
        <w:t xml:space="preserve">AND CORPORATE GOVERNANCE </w:t>
      </w:r>
    </w:p>
    <w:p>
      <w:pPr>
        <w:pStyle w:val="TextBody"/>
        <w:bidi w:val="0"/>
        <w:spacing w:before="240" w:after="0"/>
        <w:jc w:val="both"/>
        <w:rPr>
          <w:rFonts w:ascii="ARIAL" w:hAnsi="ARIAL"/>
          <w:sz w:val="22"/>
        </w:rPr>
      </w:pPr>
      <w:r>
        <w:rPr>
          <w:rFonts w:ascii="ARIAL" w:hAnsi="ARIAL"/>
          <w:sz w:val="22"/>
        </w:rPr>
        <w:t>The primary responsibility of the Board is to oversee the affairs of the Company for the benefit of the Company’s stockholders. To assist it in fulfilling its duties, the Board has delegated certain authority to the Audit Committee, the Compensation and Human Capital Committee and the Nominating/Governance Committee. The duties and responsibilities of these standing committees are described below under “—</w:t>
      </w:r>
      <w:r>
        <w:rPr>
          <w:rFonts w:ascii="ARIAL" w:hAnsi="ARIAL"/>
          <w:i/>
          <w:sz w:val="22"/>
        </w:rPr>
        <w:t>Committees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The Board has adopted the Newell Brands Inc. Corporate Governance Guidelines. The purpose of these guidelines is to ensure that the Company’s corporate governance practices enhance the Board’s ability to discharge its duties on behalf of the Company’s stockholders. The Corporate Governance Guidelines are available under the “Corporate Governance” link under the “Investors” tab on the Company’s website at </w:t>
      </w:r>
      <w:r>
        <w:rPr>
          <w:rFonts w:ascii="ARIAL" w:hAnsi="ARIAL"/>
          <w:i/>
          <w:sz w:val="22"/>
        </w:rPr>
        <w:t>www.newellbrands.com</w:t>
      </w:r>
      <w:r>
        <w:rPr>
          <w:rFonts w:ascii="ARIAL" w:hAnsi="ARIAL"/>
          <w:sz w:val="22"/>
        </w:rPr>
        <w:t xml:space="preserve"> and may be obtained in print without charge upon written request by any stockholder to the Corporate Secretary at 5 Concourse Parkway, NE, 8th Floor, Atlanta, Georgia 30328. </w:t>
      </w:r>
    </w:p>
    <w:p>
      <w:pPr>
        <w:pStyle w:val="TextBody"/>
        <w:bidi w:val="0"/>
        <w:spacing w:before="240" w:after="0"/>
        <w:jc w:val="center"/>
        <w:rPr>
          <w:rFonts w:ascii="ARIAL" w:hAnsi="ARIAL"/>
          <w:b/>
          <w:sz w:val="22"/>
        </w:rPr>
      </w:pPr>
      <w:r>
        <w:rPr>
          <w:rFonts w:ascii="ARIAL" w:hAnsi="ARIAL"/>
          <w:b/>
          <w:sz w:val="22"/>
        </w:rPr>
        <w:t xml:space="preserve">Corporate Governance Highlights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4111"/>
        <w:gridCol w:w="60"/>
        <w:gridCol w:w="282"/>
        <w:gridCol w:w="120"/>
        <w:gridCol w:w="5632"/>
      </w:tblGrid>
      <w:tr>
        <w:trPr/>
        <w:tc>
          <w:tcPr>
            <w:tcW w:w="4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32"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D5EBF6" w:val="clear"/>
            <w:vAlign w:val="center"/>
          </w:tcPr>
          <w:p>
            <w:pPr>
              <w:pStyle w:val="TableContents"/>
              <w:bidi w:val="0"/>
              <w:spacing w:before="0" w:after="0"/>
              <w:jc w:val="left"/>
              <w:rPr/>
            </w:pPr>
            <w:r>
              <w:rPr/>
              <w:t> </w:t>
            </w:r>
          </w:p>
          <w:p>
            <w:pPr>
              <w:pStyle w:val="TableContents"/>
              <w:bidi w:val="0"/>
              <w:spacing w:before="0" w:after="20"/>
              <w:jc w:val="both"/>
              <w:rPr/>
            </w:pPr>
            <w:r>
              <w:rPr/>
              <w:t> </w:t>
            </w:r>
            <w:r>
              <w:rPr>
                <w:rFonts w:ascii="WINGDINGS" w:hAnsi="WINGDINGS"/>
                <w:sz w:val="22"/>
              </w:rPr>
              <w:t>Ø</w:t>
            </w:r>
            <w:r>
              <w:rPr>
                <w:rFonts w:ascii="ARIAL" w:hAnsi="ARIAL"/>
                <w:sz w:val="22"/>
              </w:rPr>
              <w:t>  Annual Board, committee and individual director evaluation process with interviews and evaluations conducted by a third-party firm</w:t>
            </w:r>
          </w:p>
        </w:tc>
        <w:tc>
          <w:tcPr>
            <w:tcW w:w="60" w:type="dxa"/>
            <w:tcBorders/>
            <w:shd w:fill="D5EBF6" w:val="clear"/>
            <w:vAlign w:val="center"/>
          </w:tcPr>
          <w:p>
            <w:pPr>
              <w:pStyle w:val="TableContents"/>
              <w:bidi w:val="0"/>
              <w:spacing w:before="0" w:after="283"/>
              <w:jc w:val="left"/>
              <w:rPr/>
            </w:pPr>
            <w:r>
              <w:rPr/>
              <w:t> </w:t>
            </w:r>
          </w:p>
        </w:tc>
        <w:tc>
          <w:tcPr>
            <w:tcW w:w="282"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5632" w:type="dxa"/>
            <w:tcBorders/>
            <w:shd w:fill="D5EBF6" w:val="clear"/>
            <w:vAlign w:val="center"/>
          </w:tcPr>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“Clawback,” or recoupment, policy with respect to the incentive compensation of executive officers</w:t>
            </w:r>
          </w:p>
        </w:tc>
      </w:tr>
      <w:tr>
        <w:trPr/>
        <w:tc>
          <w:tcPr>
            <w:tcW w:w="4111" w:type="dxa"/>
            <w:tcBorders/>
            <w:vAlign w:val="center"/>
          </w:tcPr>
          <w:p>
            <w:pPr>
              <w:pStyle w:val="TableContents"/>
              <w:bidi w:val="0"/>
              <w:spacing w:before="0" w:after="283"/>
              <w:jc w:val="left"/>
              <w:rPr>
                <w:sz w:val="4"/>
                <w:szCs w:val="4"/>
              </w:rPr>
            </w:pPr>
            <w:r>
              <w:rPr>
                <w:sz w:val="4"/>
                <w:szCs w:val="4"/>
              </w:rPr>
            </w:r>
          </w:p>
        </w:tc>
        <w:tc>
          <w:tcPr>
            <w:tcW w:w="342" w:type="dxa"/>
            <w:gridSpan w:val="2"/>
            <w:tcBorders/>
            <w:vAlign w:val="center"/>
          </w:tcPr>
          <w:p>
            <w:pPr>
              <w:pStyle w:val="TableContents"/>
              <w:bidi w:val="0"/>
              <w:spacing w:before="0" w:after="283"/>
              <w:jc w:val="left"/>
              <w:rPr>
                <w:sz w:val="4"/>
                <w:szCs w:val="4"/>
              </w:rPr>
            </w:pPr>
            <w:r>
              <w:rPr>
                <w:sz w:val="4"/>
                <w:szCs w:val="4"/>
              </w:rPr>
            </w:r>
          </w:p>
        </w:tc>
        <w:tc>
          <w:tcPr>
            <w:tcW w:w="5752" w:type="dxa"/>
            <w:gridSpan w:val="2"/>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jc w:val="both"/>
              <w:rPr/>
            </w:pPr>
            <w:r>
              <w:rPr/>
              <w:t> </w:t>
            </w:r>
            <w:r>
              <w:rPr>
                <w:rFonts w:ascii="WINGDINGS" w:hAnsi="WINGDINGS"/>
                <w:sz w:val="22"/>
              </w:rPr>
              <w:t>Ø</w:t>
            </w:r>
            <w:r>
              <w:rPr>
                <w:rFonts w:ascii="ARIAL" w:hAnsi="ARIAL"/>
                <w:sz w:val="22"/>
              </w:rPr>
              <w:t>  Director and executive officer stock ownership guidelines</w:t>
            </w:r>
          </w:p>
        </w:tc>
        <w:tc>
          <w:tcPr>
            <w:tcW w:w="6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32"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Annual election of directors</w:t>
            </w:r>
          </w:p>
        </w:tc>
      </w:tr>
      <w:tr>
        <w:trPr/>
        <w:tc>
          <w:tcPr>
            <w:tcW w:w="4111" w:type="dxa"/>
            <w:tcBorders/>
            <w:shd w:fill="D5EBF6" w:val="clear"/>
            <w:vAlign w:val="center"/>
          </w:tcPr>
          <w:p>
            <w:pPr>
              <w:pStyle w:val="TableContents"/>
              <w:bidi w:val="0"/>
              <w:spacing w:before="0" w:after="283"/>
              <w:jc w:val="left"/>
              <w:rPr>
                <w:sz w:val="4"/>
                <w:szCs w:val="4"/>
              </w:rPr>
            </w:pPr>
            <w:r>
              <w:rPr>
                <w:sz w:val="4"/>
                <w:szCs w:val="4"/>
              </w:rPr>
            </w:r>
          </w:p>
        </w:tc>
        <w:tc>
          <w:tcPr>
            <w:tcW w:w="342" w:type="dxa"/>
            <w:gridSpan w:val="2"/>
            <w:tcBorders/>
            <w:shd w:fill="D5EBF6" w:val="clear"/>
            <w:vAlign w:val="center"/>
          </w:tcPr>
          <w:p>
            <w:pPr>
              <w:pStyle w:val="TableContents"/>
              <w:bidi w:val="0"/>
              <w:spacing w:before="0" w:after="283"/>
              <w:jc w:val="left"/>
              <w:rPr>
                <w:sz w:val="4"/>
                <w:szCs w:val="4"/>
              </w:rPr>
            </w:pPr>
            <w:r>
              <w:rPr>
                <w:sz w:val="4"/>
                <w:szCs w:val="4"/>
              </w:rPr>
            </w:r>
          </w:p>
        </w:tc>
        <w:tc>
          <w:tcPr>
            <w:tcW w:w="5752"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4111" w:type="dxa"/>
            <w:tcBorders/>
            <w:shd w:fill="D5EBF6" w:val="clear"/>
            <w:vAlign w:val="center"/>
          </w:tcPr>
          <w:p>
            <w:pPr>
              <w:pStyle w:val="TableContents"/>
              <w:bidi w:val="0"/>
              <w:spacing w:before="0" w:after="0"/>
              <w:jc w:val="both"/>
              <w:rPr/>
            </w:pPr>
            <w:r>
              <w:rPr/>
              <w:t> </w:t>
            </w:r>
            <w:r>
              <w:rPr>
                <w:rFonts w:ascii="WINGDINGS" w:hAnsi="WINGDINGS"/>
                <w:sz w:val="22"/>
              </w:rPr>
              <w:t>Ø</w:t>
            </w:r>
            <w:r>
              <w:rPr>
                <w:rFonts w:ascii="ARIAL" w:hAnsi="ARIAL"/>
                <w:sz w:val="22"/>
              </w:rPr>
              <w:t>  Robust stockholder outreach program</w:t>
            </w:r>
          </w:p>
        </w:tc>
        <w:tc>
          <w:tcPr>
            <w:tcW w:w="60" w:type="dxa"/>
            <w:tcBorders/>
            <w:shd w:fill="D5EBF6" w:val="clear"/>
            <w:vAlign w:val="center"/>
          </w:tcPr>
          <w:p>
            <w:pPr>
              <w:pStyle w:val="TableContents"/>
              <w:bidi w:val="0"/>
              <w:spacing w:before="0" w:after="283"/>
              <w:jc w:val="left"/>
              <w:rPr/>
            </w:pPr>
            <w:r>
              <w:rPr/>
              <w:t> </w:t>
            </w:r>
          </w:p>
        </w:tc>
        <w:tc>
          <w:tcPr>
            <w:tcW w:w="282" w:type="dxa"/>
            <w:tcBorders/>
            <w:shd w:fill="D5EBF6" w:val="clear"/>
            <w:vAlign w:val="center"/>
          </w:tcPr>
          <w:p>
            <w:pPr>
              <w:pStyle w:val="TableContents"/>
              <w:bidi w:val="0"/>
              <w:spacing w:before="0" w:after="283"/>
              <w:jc w:val="left"/>
              <w:rPr>
                <w:sz w:val="4"/>
                <w:szCs w:val="4"/>
              </w:rPr>
            </w:pPr>
            <w:r>
              <w:rPr>
                <w:sz w:val="4"/>
                <w:szCs w:val="4"/>
              </w:rPr>
            </w:r>
          </w:p>
        </w:tc>
        <w:tc>
          <w:tcPr>
            <w:tcW w:w="120" w:type="dxa"/>
            <w:tcBorders/>
            <w:shd w:fill="D5EBF6" w:val="clear"/>
            <w:vAlign w:val="center"/>
          </w:tcPr>
          <w:p>
            <w:pPr>
              <w:pStyle w:val="TableContents"/>
              <w:bidi w:val="0"/>
              <w:spacing w:before="0" w:after="283"/>
              <w:jc w:val="left"/>
              <w:rPr/>
            </w:pPr>
            <w:r>
              <w:rPr/>
              <w:t>  </w:t>
            </w:r>
          </w:p>
        </w:tc>
        <w:tc>
          <w:tcPr>
            <w:tcW w:w="5632"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No stockholder rights plan, or poison pill</w:t>
            </w:r>
          </w:p>
        </w:tc>
      </w:tr>
      <w:tr>
        <w:trPr/>
        <w:tc>
          <w:tcPr>
            <w:tcW w:w="4111" w:type="dxa"/>
            <w:tcBorders/>
            <w:vAlign w:val="center"/>
          </w:tcPr>
          <w:p>
            <w:pPr>
              <w:pStyle w:val="TableContents"/>
              <w:bidi w:val="0"/>
              <w:spacing w:before="0" w:after="283"/>
              <w:jc w:val="left"/>
              <w:rPr>
                <w:sz w:val="4"/>
                <w:szCs w:val="4"/>
              </w:rPr>
            </w:pPr>
            <w:r>
              <w:rPr>
                <w:sz w:val="4"/>
                <w:szCs w:val="4"/>
              </w:rPr>
            </w:r>
          </w:p>
        </w:tc>
        <w:tc>
          <w:tcPr>
            <w:tcW w:w="342" w:type="dxa"/>
            <w:gridSpan w:val="2"/>
            <w:tcBorders/>
            <w:vAlign w:val="center"/>
          </w:tcPr>
          <w:p>
            <w:pPr>
              <w:pStyle w:val="TableContents"/>
              <w:bidi w:val="0"/>
              <w:spacing w:before="0" w:after="283"/>
              <w:jc w:val="left"/>
              <w:rPr>
                <w:sz w:val="4"/>
                <w:szCs w:val="4"/>
              </w:rPr>
            </w:pPr>
            <w:r>
              <w:rPr>
                <w:sz w:val="4"/>
                <w:szCs w:val="4"/>
              </w:rPr>
            </w:r>
          </w:p>
        </w:tc>
        <w:tc>
          <w:tcPr>
            <w:tcW w:w="5752" w:type="dxa"/>
            <w:gridSpan w:val="2"/>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jc w:val="both"/>
              <w:rPr/>
            </w:pPr>
            <w:r>
              <w:rPr/>
              <w:t> </w:t>
            </w:r>
            <w:r>
              <w:rPr>
                <w:rFonts w:ascii="WINGDINGS" w:hAnsi="WINGDINGS"/>
                <w:sz w:val="22"/>
              </w:rPr>
              <w:t>Ø</w:t>
            </w:r>
            <w:r>
              <w:rPr>
                <w:rFonts w:ascii="ARIAL" w:hAnsi="ARIAL"/>
                <w:sz w:val="22"/>
              </w:rPr>
              <w:t>  Stockholders who own 15% or more of the Company’s outstanding common stock, on an aggregate net long basis, may call a special meeting of stockholders</w:t>
            </w:r>
          </w:p>
        </w:tc>
        <w:tc>
          <w:tcPr>
            <w:tcW w:w="6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32"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“Proxy Access” provision in the Company’s By-Laws permits stockholders who have owned 3% or more of the Company’s outstanding common stock for at least three years to nominate up to 20% of directors up for election in any one year</w:t>
            </w:r>
          </w:p>
        </w:tc>
      </w:tr>
      <w:tr>
        <w:trPr/>
        <w:tc>
          <w:tcPr>
            <w:tcW w:w="4111" w:type="dxa"/>
            <w:tcBorders/>
            <w:shd w:fill="D5EBF6" w:val="clear"/>
            <w:vAlign w:val="center"/>
          </w:tcPr>
          <w:p>
            <w:pPr>
              <w:pStyle w:val="TableContents"/>
              <w:bidi w:val="0"/>
              <w:spacing w:before="0" w:after="283"/>
              <w:jc w:val="left"/>
              <w:rPr>
                <w:sz w:val="4"/>
                <w:szCs w:val="4"/>
              </w:rPr>
            </w:pPr>
            <w:r>
              <w:rPr>
                <w:sz w:val="4"/>
                <w:szCs w:val="4"/>
              </w:rPr>
            </w:r>
          </w:p>
        </w:tc>
        <w:tc>
          <w:tcPr>
            <w:tcW w:w="342" w:type="dxa"/>
            <w:gridSpan w:val="2"/>
            <w:tcBorders/>
            <w:shd w:fill="D5EBF6" w:val="clear"/>
            <w:vAlign w:val="center"/>
          </w:tcPr>
          <w:p>
            <w:pPr>
              <w:pStyle w:val="TableContents"/>
              <w:bidi w:val="0"/>
              <w:spacing w:before="0" w:after="283"/>
              <w:jc w:val="left"/>
              <w:rPr>
                <w:sz w:val="4"/>
                <w:szCs w:val="4"/>
              </w:rPr>
            </w:pPr>
            <w:r>
              <w:rPr>
                <w:sz w:val="4"/>
                <w:szCs w:val="4"/>
              </w:rPr>
            </w:r>
          </w:p>
        </w:tc>
        <w:tc>
          <w:tcPr>
            <w:tcW w:w="5752"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4111" w:type="dxa"/>
            <w:tcBorders/>
            <w:shd w:fill="D5EBF6" w:val="clear"/>
            <w:vAlign w:val="center"/>
          </w:tcPr>
          <w:p>
            <w:pPr>
              <w:pStyle w:val="TableContents"/>
              <w:bidi w:val="0"/>
              <w:spacing w:before="0" w:after="0"/>
              <w:jc w:val="both"/>
              <w:rPr/>
            </w:pPr>
            <w:r>
              <w:rPr/>
              <w:t> </w:t>
            </w:r>
            <w:r>
              <w:rPr>
                <w:rFonts w:ascii="WINGDINGS" w:hAnsi="WINGDINGS"/>
                <w:sz w:val="22"/>
              </w:rPr>
              <w:t>Ø</w:t>
            </w:r>
            <w:r>
              <w:rPr>
                <w:rFonts w:ascii="ARIAL" w:hAnsi="ARIAL"/>
                <w:sz w:val="22"/>
              </w:rPr>
              <w:t>  Formal procedure in the Corporate Governance Guidelines to address and respond to successful stockholder proposals</w:t>
            </w:r>
          </w:p>
        </w:tc>
        <w:tc>
          <w:tcPr>
            <w:tcW w:w="60" w:type="dxa"/>
            <w:tcBorders/>
            <w:shd w:fill="D5EBF6" w:val="clear"/>
            <w:vAlign w:val="center"/>
          </w:tcPr>
          <w:p>
            <w:pPr>
              <w:pStyle w:val="TableContents"/>
              <w:bidi w:val="0"/>
              <w:spacing w:before="0" w:after="283"/>
              <w:jc w:val="left"/>
              <w:rPr/>
            </w:pPr>
            <w:r>
              <w:rPr/>
              <w:t> </w:t>
            </w:r>
          </w:p>
        </w:tc>
        <w:tc>
          <w:tcPr>
            <w:tcW w:w="282" w:type="dxa"/>
            <w:tcBorders/>
            <w:shd w:fill="D5EBF6" w:val="clear"/>
            <w:vAlign w:val="center"/>
          </w:tcPr>
          <w:p>
            <w:pPr>
              <w:pStyle w:val="TableContents"/>
              <w:bidi w:val="0"/>
              <w:spacing w:before="0" w:after="283"/>
              <w:jc w:val="left"/>
              <w:rPr>
                <w:sz w:val="4"/>
                <w:szCs w:val="4"/>
              </w:rPr>
            </w:pPr>
            <w:r>
              <w:rPr>
                <w:sz w:val="4"/>
                <w:szCs w:val="4"/>
              </w:rPr>
            </w:r>
          </w:p>
        </w:tc>
        <w:tc>
          <w:tcPr>
            <w:tcW w:w="120" w:type="dxa"/>
            <w:tcBorders/>
            <w:shd w:fill="D5EBF6" w:val="clear"/>
            <w:vAlign w:val="center"/>
          </w:tcPr>
          <w:p>
            <w:pPr>
              <w:pStyle w:val="TableContents"/>
              <w:bidi w:val="0"/>
              <w:spacing w:before="0" w:after="283"/>
              <w:jc w:val="left"/>
              <w:rPr/>
            </w:pPr>
            <w:r>
              <w:rPr/>
              <w:t>  </w:t>
            </w:r>
          </w:p>
        </w:tc>
        <w:tc>
          <w:tcPr>
            <w:tcW w:w="5632"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Stockholder action by written consent is allowed</w:t>
            </w:r>
          </w:p>
        </w:tc>
      </w:tr>
      <w:tr>
        <w:trPr/>
        <w:tc>
          <w:tcPr>
            <w:tcW w:w="4111" w:type="dxa"/>
            <w:tcBorders/>
            <w:vAlign w:val="center"/>
          </w:tcPr>
          <w:p>
            <w:pPr>
              <w:pStyle w:val="TableContents"/>
              <w:bidi w:val="0"/>
              <w:spacing w:before="0" w:after="283"/>
              <w:jc w:val="left"/>
              <w:rPr>
                <w:sz w:val="4"/>
                <w:szCs w:val="4"/>
              </w:rPr>
            </w:pPr>
            <w:r>
              <w:rPr>
                <w:sz w:val="4"/>
                <w:szCs w:val="4"/>
              </w:rPr>
            </w:r>
          </w:p>
        </w:tc>
        <w:tc>
          <w:tcPr>
            <w:tcW w:w="342" w:type="dxa"/>
            <w:gridSpan w:val="2"/>
            <w:tcBorders/>
            <w:vAlign w:val="center"/>
          </w:tcPr>
          <w:p>
            <w:pPr>
              <w:pStyle w:val="TableContents"/>
              <w:bidi w:val="0"/>
              <w:spacing w:before="0" w:after="283"/>
              <w:jc w:val="left"/>
              <w:rPr>
                <w:sz w:val="4"/>
                <w:szCs w:val="4"/>
              </w:rPr>
            </w:pPr>
            <w:r>
              <w:rPr>
                <w:sz w:val="4"/>
                <w:szCs w:val="4"/>
              </w:rPr>
            </w:r>
          </w:p>
        </w:tc>
        <w:tc>
          <w:tcPr>
            <w:tcW w:w="5752" w:type="dxa"/>
            <w:gridSpan w:val="2"/>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jc w:val="both"/>
              <w:rPr/>
            </w:pPr>
            <w:r>
              <w:rPr/>
              <w:t> </w:t>
            </w:r>
            <w:r>
              <w:rPr>
                <w:rFonts w:ascii="WINGDINGS" w:hAnsi="WINGDINGS"/>
                <w:sz w:val="22"/>
              </w:rPr>
              <w:t>Ø</w:t>
            </w:r>
            <w:r>
              <w:rPr>
                <w:rFonts w:ascii="ARIAL" w:hAnsi="ARIAL"/>
                <w:sz w:val="22"/>
              </w:rPr>
              <w:t>  Majority voting for directors in uncontested director elections</w:t>
            </w:r>
          </w:p>
        </w:tc>
        <w:tc>
          <w:tcPr>
            <w:tcW w:w="6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32"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Anti-hedging and anti-pledging policies applicable to executive officers and directors</w:t>
            </w:r>
          </w:p>
        </w:tc>
      </w:tr>
      <w:tr>
        <w:trPr/>
        <w:tc>
          <w:tcPr>
            <w:tcW w:w="4111" w:type="dxa"/>
            <w:tcBorders/>
            <w:shd w:fill="D5EBF6" w:val="clear"/>
            <w:vAlign w:val="center"/>
          </w:tcPr>
          <w:p>
            <w:pPr>
              <w:pStyle w:val="TableContents"/>
              <w:bidi w:val="0"/>
              <w:spacing w:before="0" w:after="283"/>
              <w:jc w:val="left"/>
              <w:rPr>
                <w:sz w:val="4"/>
                <w:szCs w:val="4"/>
              </w:rPr>
            </w:pPr>
            <w:r>
              <w:rPr>
                <w:sz w:val="4"/>
                <w:szCs w:val="4"/>
              </w:rPr>
            </w:r>
          </w:p>
        </w:tc>
        <w:tc>
          <w:tcPr>
            <w:tcW w:w="342" w:type="dxa"/>
            <w:gridSpan w:val="2"/>
            <w:tcBorders/>
            <w:shd w:fill="D5EBF6" w:val="clear"/>
            <w:vAlign w:val="center"/>
          </w:tcPr>
          <w:p>
            <w:pPr>
              <w:pStyle w:val="TableContents"/>
              <w:bidi w:val="0"/>
              <w:spacing w:before="0" w:after="283"/>
              <w:jc w:val="left"/>
              <w:rPr>
                <w:sz w:val="4"/>
                <w:szCs w:val="4"/>
              </w:rPr>
            </w:pPr>
            <w:r>
              <w:rPr>
                <w:sz w:val="4"/>
                <w:szCs w:val="4"/>
              </w:rPr>
            </w:r>
          </w:p>
        </w:tc>
        <w:tc>
          <w:tcPr>
            <w:tcW w:w="5752"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4111" w:type="dxa"/>
            <w:tcBorders/>
            <w:shd w:fill="D5EBF6" w:val="clear"/>
            <w:vAlign w:val="center"/>
          </w:tcPr>
          <w:p>
            <w:pPr>
              <w:pStyle w:val="TableContents"/>
              <w:bidi w:val="0"/>
              <w:spacing w:before="0" w:after="0"/>
              <w:jc w:val="both"/>
              <w:rPr/>
            </w:pPr>
            <w:r>
              <w:rPr/>
              <w:t> </w:t>
            </w:r>
            <w:r>
              <w:rPr>
                <w:rFonts w:ascii="WINGDINGS" w:hAnsi="WINGDINGS"/>
                <w:sz w:val="22"/>
              </w:rPr>
              <w:t>Ø</w:t>
            </w:r>
            <w:r>
              <w:rPr>
                <w:rFonts w:ascii="ARIAL" w:hAnsi="ARIAL"/>
                <w:sz w:val="22"/>
              </w:rPr>
              <w:t>  No supermajority voting requirements in the Company’s charter documents</w:t>
            </w:r>
          </w:p>
        </w:tc>
        <w:tc>
          <w:tcPr>
            <w:tcW w:w="60" w:type="dxa"/>
            <w:tcBorders/>
            <w:shd w:fill="D5EBF6" w:val="clear"/>
            <w:vAlign w:val="center"/>
          </w:tcPr>
          <w:p>
            <w:pPr>
              <w:pStyle w:val="TableContents"/>
              <w:bidi w:val="0"/>
              <w:spacing w:before="0" w:after="283"/>
              <w:jc w:val="left"/>
              <w:rPr/>
            </w:pPr>
            <w:r>
              <w:rPr/>
              <w:t> </w:t>
            </w:r>
          </w:p>
        </w:tc>
        <w:tc>
          <w:tcPr>
            <w:tcW w:w="282" w:type="dxa"/>
            <w:tcBorders/>
            <w:shd w:fill="D5EBF6" w:val="clear"/>
            <w:vAlign w:val="center"/>
          </w:tcPr>
          <w:p>
            <w:pPr>
              <w:pStyle w:val="TableContents"/>
              <w:bidi w:val="0"/>
              <w:spacing w:before="0" w:after="283"/>
              <w:jc w:val="left"/>
              <w:rPr>
                <w:sz w:val="4"/>
                <w:szCs w:val="4"/>
              </w:rPr>
            </w:pPr>
            <w:r>
              <w:rPr>
                <w:sz w:val="4"/>
                <w:szCs w:val="4"/>
              </w:rPr>
            </w:r>
          </w:p>
        </w:tc>
        <w:tc>
          <w:tcPr>
            <w:tcW w:w="120" w:type="dxa"/>
            <w:tcBorders/>
            <w:shd w:fill="D5EBF6" w:val="clear"/>
            <w:vAlign w:val="center"/>
          </w:tcPr>
          <w:p>
            <w:pPr>
              <w:pStyle w:val="TableContents"/>
              <w:bidi w:val="0"/>
              <w:spacing w:before="0" w:after="283"/>
              <w:jc w:val="left"/>
              <w:rPr/>
            </w:pPr>
            <w:r>
              <w:rPr/>
              <w:t>  </w:t>
            </w:r>
          </w:p>
        </w:tc>
        <w:tc>
          <w:tcPr>
            <w:tcW w:w="5632"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Annual updates to the Newell Brands Corporate Citizenship Report</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b/>
          <w:color w:val="248EC3"/>
          <w:sz w:val="22"/>
        </w:rPr>
      </w:pPr>
      <w:r>
        <w:rPr>
          <w:rFonts w:ascii="ARIAL" w:hAnsi="ARIAL"/>
          <w:b/>
          <w:color w:val="248EC3"/>
          <w:sz w:val="22"/>
        </w:rPr>
        <w:t xml:space="preserve">THE COMPANY HAS AN INDEPENDENT NON-EXECUTIVE CHAIRPERSON OF THE BOARD </w:t>
      </w:r>
    </w:p>
    <w:p>
      <w:pPr>
        <w:pStyle w:val="TextBody"/>
        <w:bidi w:val="0"/>
        <w:spacing w:before="240" w:after="0"/>
        <w:jc w:val="both"/>
        <w:rPr>
          <w:rFonts w:ascii="ARIAL" w:hAnsi="ARIAL"/>
          <w:sz w:val="22"/>
        </w:rPr>
      </w:pPr>
      <w:r>
        <w:rPr>
          <w:rFonts w:ascii="ARIAL" w:hAnsi="ARIAL"/>
          <w:sz w:val="22"/>
        </w:rPr>
        <w:t xml:space="preserve">The positions of Chairperson of the Board and CEO are usually held by different persons. The Board believes that this separation has served the Company well for many years. However, the Board may choose to change this if it determines it would be best for the Company under the then-existing circumstances. </w:t>
      </w:r>
    </w:p>
    <w:p>
      <w:pPr>
        <w:pStyle w:val="TextBody"/>
        <w:bidi w:val="0"/>
        <w:spacing w:before="240" w:after="0"/>
        <w:jc w:val="both"/>
        <w:rPr>
          <w:rFonts w:ascii="ARIAL" w:hAnsi="ARIAL"/>
          <w:sz w:val="22"/>
        </w:rPr>
      </w:pPr>
      <w:r>
        <w:rPr>
          <w:rFonts w:ascii="ARIAL" w:hAnsi="ARIAL"/>
          <w:sz w:val="22"/>
        </w:rPr>
        <w:t xml:space="preserve">Should the Chairperson of the Board position be held by the CEO, the Board will appoint a lead independent director. The Board believes that the current arrangement of separating the roles of Chairperson of the Board and CEO is in the best interest of the Company and its stockholders at this time because it provides the appropriate balance between strategy development and independent oversight of management. Since May 8, 2024, Ms. Ryan Berman has served as the independent non-executive Chairperson of the Board. </w:t>
      </w:r>
    </w:p>
    <w:p>
      <w:pPr>
        <w:pStyle w:val="TextBody"/>
        <w:bidi w:val="0"/>
        <w:spacing w:before="360" w:after="0"/>
        <w:jc w:val="left"/>
        <w:rPr>
          <w:rFonts w:ascii="ARIAL" w:hAnsi="ARIAL"/>
          <w:b/>
          <w:color w:val="248EC3"/>
          <w:sz w:val="22"/>
        </w:rPr>
      </w:pPr>
      <w:r>
        <w:rPr>
          <w:rFonts w:ascii="ARIAL" w:hAnsi="ARIAL"/>
          <w:b/>
          <w:color w:val="248EC3"/>
          <w:sz w:val="22"/>
        </w:rPr>
        <w:t xml:space="preserve">DIRECTOR INDEPENDENCE </w:t>
      </w:r>
    </w:p>
    <w:p>
      <w:pPr>
        <w:pStyle w:val="TextBody"/>
        <w:bidi w:val="0"/>
        <w:spacing w:before="240" w:after="0"/>
        <w:jc w:val="both"/>
        <w:rPr>
          <w:rFonts w:ascii="ARIAL" w:hAnsi="ARIAL"/>
          <w:sz w:val="22"/>
        </w:rPr>
      </w:pPr>
      <w:r>
        <w:rPr>
          <w:rFonts w:ascii="ARIAL" w:hAnsi="ARIAL"/>
          <w:sz w:val="22"/>
        </w:rPr>
        <w:t xml:space="preserve">Pursuant to the Company’s Corporate Governance Guidelines, the Board undertook its annual review of director independence in 2026. During this review, the Board considered whether or not each director and director nominee has any material relationship with the Company (either directly or as a partner, stockholder or officer of an organization that has a relationship with the Company) and has otherwise complied with the independence requirements under the applicable Nasdaq rules. </w:t>
      </w:r>
    </w:p>
    <w:p>
      <w:pPr>
        <w:pStyle w:val="TextBody"/>
        <w:bidi w:val="0"/>
        <w:spacing w:before="240" w:after="0"/>
        <w:jc w:val="both"/>
        <w:rPr>
          <w:rFonts w:ascii="ARIAL" w:hAnsi="ARIAL"/>
          <w:sz w:val="22"/>
        </w:rPr>
      </w:pPr>
      <w:r>
        <w:rPr>
          <w:rFonts w:ascii="ARIAL" w:hAnsi="ARIAL"/>
          <w:sz w:val="22"/>
        </w:rPr>
        <w:t xml:space="preserve">As a result of these reviews, the Board affirmatively determined that all of the Company’s current non-management directors are, and, during their service on the Board in 2025, were “independent” of the Company and its management within the meaning of the applicable Nasdaq rules and under the standards set forth in the Corporate Governance Guidelines. Mr. Peterson is not considered an independent director nominee because of his employment as President and CEO of the Company. </w:t>
      </w:r>
    </w:p>
    <w:p>
      <w:pPr>
        <w:pStyle w:val="TextBody"/>
        <w:bidi w:val="0"/>
        <w:spacing w:before="360" w:after="0"/>
        <w:jc w:val="left"/>
        <w:rPr>
          <w:rFonts w:ascii="ARIAL" w:hAnsi="ARIAL"/>
          <w:b/>
          <w:color w:val="248EC3"/>
          <w:sz w:val="22"/>
        </w:rPr>
      </w:pPr>
      <w:r>
        <w:rPr>
          <w:rFonts w:ascii="ARIAL" w:hAnsi="ARIAL"/>
          <w:b/>
          <w:color w:val="248EC3"/>
          <w:sz w:val="22"/>
        </w:rPr>
        <w:t xml:space="preserve">MEETINGS </w:t>
      </w:r>
    </w:p>
    <w:p>
      <w:pPr>
        <w:pStyle w:val="TextBody"/>
        <w:bidi w:val="0"/>
        <w:spacing w:before="240" w:after="0"/>
        <w:jc w:val="both"/>
        <w:rPr>
          <w:rFonts w:ascii="ARIAL" w:hAnsi="ARIAL"/>
          <w:sz w:val="22"/>
        </w:rPr>
      </w:pPr>
      <w:r>
        <w:rPr>
          <w:rFonts w:ascii="ARIAL" w:hAnsi="ARIAL"/>
          <w:sz w:val="22"/>
        </w:rPr>
        <w:t xml:space="preserve">The Company’s Board held seven meetings during 2025. All directors attended at least 75% of the Board meetings, including the 2025 annual meeting of stockholders, and meetings of Board committees on which they served. Under the Company’s Corporate Governance Guidelines, each director is expected to attend the Annual Meeting. </w:t>
      </w:r>
    </w:p>
    <w:p>
      <w:pPr>
        <w:pStyle w:val="TextBody"/>
        <w:bidi w:val="0"/>
        <w:spacing w:before="240" w:after="0"/>
        <w:jc w:val="both"/>
        <w:rPr>
          <w:rFonts w:ascii="ARIAL" w:hAnsi="ARIAL"/>
          <w:sz w:val="22"/>
        </w:rPr>
      </w:pPr>
      <w:r>
        <w:rPr>
          <w:rFonts w:ascii="ARIAL" w:hAnsi="ARIAL"/>
          <w:sz w:val="22"/>
        </w:rPr>
        <w:t xml:space="preserve">The Company’s non-management directors held four meetings during 2025 separately in executive session without any members of management present. The Company’s Corporate Governance Guidelines provide that the presiding director at each such session is the Chairperson of the Board or lead director, or in his or her absence, the person that the Chairperson of the Board or lead director so appoints. The Chairperson of the Board currently presides over executive sessions of the non-management directors. </w:t>
      </w:r>
    </w:p>
    <w:p>
      <w:pPr>
        <w:pStyle w:val="TextBody"/>
        <w:bidi w:val="0"/>
        <w:spacing w:before="360" w:after="0"/>
        <w:jc w:val="left"/>
        <w:rPr>
          <w:rFonts w:ascii="ARIAL" w:hAnsi="ARIAL"/>
          <w:b/>
          <w:color w:val="248EC3"/>
          <w:sz w:val="22"/>
        </w:rPr>
      </w:pPr>
      <w:r>
        <w:rPr>
          <w:rFonts w:ascii="ARIAL" w:hAnsi="ARIAL"/>
          <w:b/>
          <w:color w:val="248EC3"/>
          <w:sz w:val="22"/>
        </w:rPr>
        <w:t xml:space="preserve">COMMITTEES </w:t>
      </w:r>
    </w:p>
    <w:p>
      <w:pPr>
        <w:pStyle w:val="TextBody"/>
        <w:bidi w:val="0"/>
        <w:spacing w:before="240" w:after="0"/>
        <w:jc w:val="both"/>
        <w:rPr>
          <w:rFonts w:ascii="ARIAL" w:hAnsi="ARIAL"/>
          <w:sz w:val="22"/>
        </w:rPr>
      </w:pPr>
      <w:r>
        <w:rPr>
          <w:rFonts w:ascii="ARIAL" w:hAnsi="ARIAL"/>
          <w:sz w:val="22"/>
        </w:rPr>
        <w:t>The Board has a standing Audit Committee, Compensation and Human Capital Committee and Nominating/Governance Committee.</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i/>
          <w:sz w:val="22"/>
          <w:u w:val="single"/>
        </w:rPr>
        <w:t>Audit Committee</w:t>
      </w:r>
      <w:r>
        <w:rPr>
          <w:rFonts w:ascii="ARIAL" w:hAnsi="ARIAL"/>
          <w:sz w:val="22"/>
        </w:rPr>
        <w:t xml:space="preserve">. The Audit Committee met six times during 2025. The Board has affirmatively determined that each member of the Audit Committee is an “independent director” for purposes of the Audit Committee under the applicable SEC regulations, the applicable Nasdaq rules and the Company’s Corporate Governance Guidelines. </w:t>
      </w:r>
    </w:p>
    <w:p>
      <w:pPr>
        <w:pStyle w:val="TextBody"/>
        <w:bidi w:val="0"/>
        <w:spacing w:before="240" w:after="0"/>
        <w:jc w:val="center"/>
        <w:rPr>
          <w:rFonts w:ascii="ARIAL" w:hAnsi="ARIAL"/>
          <w:b/>
          <w:sz w:val="22"/>
        </w:rPr>
      </w:pPr>
      <w:r>
        <w:rPr>
          <w:rFonts w:ascii="ARIAL" w:hAnsi="ARIAL"/>
          <w:b/>
          <w:sz w:val="22"/>
        </w:rPr>
        <w:t xml:space="preserve">Audit Committee Members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710" w:type="dxa"/>
        <w:jc w:val="left"/>
        <w:tblInd w:w="0" w:type="dxa"/>
        <w:tblLayout w:type="fixed"/>
        <w:tblCellMar>
          <w:top w:w="0" w:type="dxa"/>
          <w:left w:w="0" w:type="dxa"/>
          <w:bottom w:w="0" w:type="dxa"/>
          <w:right w:w="0" w:type="dxa"/>
        </w:tblCellMar>
      </w:tblPr>
      <w:tblGrid>
        <w:gridCol w:w="3710"/>
      </w:tblGrid>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shd w:fill="D5EBF6" w:val="clear"/>
            <w:vAlign w:val="center"/>
          </w:tcPr>
          <w:p>
            <w:pPr>
              <w:pStyle w:val="TableContents"/>
              <w:bidi w:val="0"/>
              <w:spacing w:before="0" w:after="283"/>
              <w:jc w:val="left"/>
              <w:rPr>
                <w:sz w:val="4"/>
                <w:szCs w:val="4"/>
              </w:rPr>
            </w:pPr>
            <w:r>
              <w:rPr>
                <w:sz w:val="4"/>
                <w:szCs w:val="4"/>
              </w:rPr>
            </w:r>
          </w:p>
        </w:tc>
      </w:tr>
      <w:tr>
        <w:trPr/>
        <w:tc>
          <w:tcPr>
            <w:tcW w:w="3710" w:type="dxa"/>
            <w:tcBorders/>
            <w:shd w:fill="D5EBF6" w:val="clear"/>
            <w:vAlign w:val="center"/>
          </w:tcPr>
          <w:p>
            <w:pPr>
              <w:pStyle w:val="TableContents"/>
              <w:bidi w:val="0"/>
              <w:spacing w:before="0" w:after="283"/>
              <w:jc w:val="center"/>
              <w:rPr/>
            </w:pPr>
            <w:r>
              <w:rPr/>
              <w:t>Judith A. Sprieser (Chairperson)(1) (2)</w:t>
            </w:r>
          </w:p>
        </w:tc>
      </w:tr>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center"/>
              <w:rPr/>
            </w:pPr>
            <w:r>
              <w:rPr/>
              <w:t>Gerardo I. Lopez</w:t>
            </w:r>
          </w:p>
        </w:tc>
      </w:tr>
      <w:tr>
        <w:trPr/>
        <w:tc>
          <w:tcPr>
            <w:tcW w:w="3710" w:type="dxa"/>
            <w:tcBorders/>
            <w:shd w:fill="D5EBF6" w:val="clear"/>
            <w:vAlign w:val="center"/>
          </w:tcPr>
          <w:p>
            <w:pPr>
              <w:pStyle w:val="TableContents"/>
              <w:bidi w:val="0"/>
              <w:spacing w:before="0" w:after="283"/>
              <w:jc w:val="left"/>
              <w:rPr>
                <w:sz w:val="4"/>
                <w:szCs w:val="4"/>
              </w:rPr>
            </w:pPr>
            <w:r>
              <w:rPr>
                <w:sz w:val="4"/>
                <w:szCs w:val="4"/>
              </w:rPr>
            </w:r>
          </w:p>
        </w:tc>
      </w:tr>
      <w:tr>
        <w:trPr/>
        <w:tc>
          <w:tcPr>
            <w:tcW w:w="3710" w:type="dxa"/>
            <w:tcBorders/>
            <w:shd w:fill="D5EBF6" w:val="clear"/>
            <w:vAlign w:val="center"/>
          </w:tcPr>
          <w:p>
            <w:pPr>
              <w:pStyle w:val="TableContents"/>
              <w:bidi w:val="0"/>
              <w:spacing w:before="0" w:after="283"/>
              <w:jc w:val="center"/>
              <w:rPr/>
            </w:pPr>
            <w:r>
              <w:rPr/>
              <w:t>Anthony Terry(1) (3)</w:t>
            </w:r>
          </w:p>
        </w:tc>
      </w:tr>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center"/>
              <w:rPr/>
            </w:pPr>
            <w:r>
              <w:rPr/>
              <w:t>James P. Keane(1)</w:t>
            </w:r>
          </w:p>
        </w:tc>
      </w:tr>
      <w:tr>
        <w:trPr/>
        <w:tc>
          <w:tcPr>
            <w:tcW w:w="3710" w:type="dxa"/>
            <w:tcBorders/>
            <w:shd w:fill="D5EBF6" w:val="clear"/>
            <w:vAlign w:val="center"/>
          </w:tcPr>
          <w:p>
            <w:pPr>
              <w:pStyle w:val="TableContents"/>
              <w:bidi w:val="0"/>
              <w:spacing w:before="0" w:after="283"/>
              <w:jc w:val="left"/>
              <w:rPr>
                <w:sz w:val="4"/>
                <w:szCs w:val="4"/>
              </w:rPr>
            </w:pPr>
            <w:r>
              <w:rPr>
                <w:sz w:val="4"/>
                <w:szCs w:val="4"/>
              </w:rPr>
            </w:r>
          </w:p>
        </w:tc>
      </w:tr>
      <w:tr>
        <w:trPr/>
        <w:tc>
          <w:tcPr>
            <w:tcW w:w="3710" w:type="dxa"/>
            <w:tcBorders/>
            <w:shd w:fill="D5EBF6" w:val="clear"/>
            <w:vAlign w:val="center"/>
          </w:tcPr>
          <w:p>
            <w:pPr>
              <w:pStyle w:val="TableContents"/>
              <w:bidi w:val="0"/>
              <w:spacing w:before="0" w:after="283"/>
              <w:jc w:val="center"/>
              <w:rPr/>
            </w:pPr>
            <w:r>
              <w:rPr/>
              <w:t>Gary H. Pilnick</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305"/>
        <w:gridCol w:w="8450"/>
      </w:tblGrid>
      <w:tr>
        <w:trPr/>
        <w:tc>
          <w:tcPr>
            <w:tcW w:w="305" w:type="dxa"/>
            <w:tcBorders/>
            <w:vAlign w:val="center"/>
          </w:tcPr>
          <w:p>
            <w:pPr>
              <w:pStyle w:val="TableContents"/>
              <w:bidi w:val="0"/>
              <w:spacing w:before="0" w:after="283"/>
              <w:jc w:val="left"/>
              <w:rPr/>
            </w:pPr>
            <w:r>
              <w:rPr/>
              <w:t>(1)</w:t>
            </w:r>
          </w:p>
        </w:tc>
        <w:tc>
          <w:tcPr>
            <w:tcW w:w="8450" w:type="dxa"/>
            <w:tcBorders/>
            <w:vAlign w:val="center"/>
          </w:tcPr>
          <w:p>
            <w:pPr>
              <w:pStyle w:val="TableContents"/>
              <w:bidi w:val="0"/>
              <w:spacing w:before="0" w:after="0"/>
              <w:jc w:val="both"/>
              <w:rPr>
                <w:rFonts w:ascii="ARIAL" w:hAnsi="ARIAL"/>
                <w:sz w:val="18"/>
              </w:rPr>
            </w:pPr>
            <w:r>
              <w:rPr>
                <w:rFonts w:ascii="ARIAL" w:hAnsi="ARIAL"/>
                <w:sz w:val="18"/>
              </w:rPr>
              <w:t xml:space="preserve">Qualifies as an “audit committee financial expert” within the meaning of the applicable SEC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both"/>
              <w:rPr>
                <w:rFonts w:ascii="ARIAL" w:hAnsi="ARIAL"/>
                <w:sz w:val="18"/>
              </w:rPr>
            </w:pPr>
            <w:r>
              <w:rPr>
                <w:rFonts w:ascii="ARIAL" w:hAnsi="ARIAL"/>
                <w:sz w:val="18"/>
              </w:rPr>
              <w:t xml:space="preserve">Ms. Sprieser is not standing for re-election to the Board and therefore will not serve on the Audit Committee as of May 7, 2026.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305"/>
        <w:gridCol w:w="6005"/>
      </w:tblGrid>
      <w:tr>
        <w:trPr/>
        <w:tc>
          <w:tcPr>
            <w:tcW w:w="305" w:type="dxa"/>
            <w:tcBorders/>
            <w:vAlign w:val="center"/>
          </w:tcPr>
          <w:p>
            <w:pPr>
              <w:pStyle w:val="TableContents"/>
              <w:bidi w:val="0"/>
              <w:spacing w:before="0" w:after="283"/>
              <w:jc w:val="left"/>
              <w:rPr/>
            </w:pPr>
            <w:r>
              <w:rPr/>
              <w:t>(3)</w:t>
            </w:r>
          </w:p>
        </w:tc>
        <w:tc>
          <w:tcPr>
            <w:tcW w:w="6005" w:type="dxa"/>
            <w:tcBorders/>
            <w:vAlign w:val="center"/>
          </w:tcPr>
          <w:p>
            <w:pPr>
              <w:pStyle w:val="TableContents"/>
              <w:bidi w:val="0"/>
              <w:spacing w:before="0" w:after="0"/>
              <w:jc w:val="both"/>
              <w:rPr>
                <w:rFonts w:ascii="ARIAL" w:hAnsi="ARIAL"/>
                <w:sz w:val="18"/>
              </w:rPr>
            </w:pPr>
            <w:r>
              <w:rPr>
                <w:rFonts w:ascii="ARIAL" w:hAnsi="ARIAL"/>
                <w:sz w:val="18"/>
              </w:rPr>
              <w:t xml:space="preserve">Mr. Terry will serve as chair of the Audit Committee effective May 6, 2026. </w:t>
            </w:r>
          </w:p>
        </w:tc>
      </w:tr>
    </w:tbl>
    <w:p>
      <w:pPr>
        <w:pStyle w:val="TextBody"/>
        <w:bidi w:val="0"/>
        <w:spacing w:before="240" w:after="0"/>
        <w:jc w:val="both"/>
        <w:rPr>
          <w:rFonts w:ascii="ARIAL" w:hAnsi="ARIAL"/>
          <w:sz w:val="22"/>
        </w:rPr>
      </w:pPr>
      <w:r>
        <w:rPr>
          <w:rFonts w:ascii="ARIAL" w:hAnsi="ARIAL"/>
          <w:sz w:val="22"/>
        </w:rPr>
        <w:t xml:space="preserve">The Audit Committee: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assists the board in fulfilling its fiduciary obligations to oversee:</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pPr>
            <w:r>
              <w:rPr/>
              <w:t>○   </w:t>
            </w:r>
            <w:r>
              <w:rPr>
                <w:rFonts w:ascii="ARIAL" w:hAnsi="ARIAL"/>
                <w:sz w:val="22"/>
              </w:rPr>
              <w:t>the integrity of the Company’s financial statements;</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pPr>
            <w:r>
              <w:rPr/>
              <w:t>○   </w:t>
            </w:r>
            <w:r>
              <w:rPr>
                <w:rFonts w:ascii="ARIAL" w:hAnsi="ARIAL"/>
                <w:sz w:val="22"/>
              </w:rPr>
              <w:t>the Company’s compliance with legal and regulatory requirements;</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pPr>
            <w:r>
              <w:rPr/>
              <w:t>○   </w:t>
            </w:r>
            <w:r>
              <w:rPr>
                <w:rFonts w:ascii="ARIAL" w:hAnsi="ARIAL"/>
                <w:sz w:val="22"/>
              </w:rPr>
              <w:t>the qualifications and independence of the Company’s independent registered public accounting firm;</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pPr>
            <w:r>
              <w:rPr/>
              <w:t>○   </w:t>
            </w:r>
            <w:r>
              <w:rPr>
                <w:rFonts w:ascii="ARIAL" w:hAnsi="ARIAL"/>
                <w:sz w:val="22"/>
              </w:rPr>
              <w:t>the performance of the Company’s internal audit function and independent registered public accounting firm; and</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pPr>
            <w:r>
              <w:rPr/>
              <w:t>○   </w:t>
            </w:r>
            <w:r>
              <w:rPr>
                <w:rFonts w:ascii="ARIAL" w:hAnsi="ARIAL"/>
                <w:sz w:val="22"/>
              </w:rPr>
              <w:t>the Company’s overall risk management profile and the Company’s process for assessing significant business risks;</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is directly responsible for the appointment, compensation, retention and oversight of the work of the Company’s independent registered public accounting firm;</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has established procedures for the receipt, retention and treatment of complaints regarding accounting, internal accounting controls and auditing matters, including procedures for confidential, anonymous submission by employees of concerns regarding questionable accounting or audit matters;</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has the authority to engage independent counsel and other advisors as it deems necessary to carry out its duties; and</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shd w:fill="FFFFFF"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reviews certain tax planning and treasury activities.</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i/>
          <w:sz w:val="22"/>
          <w:u w:val="single"/>
        </w:rPr>
        <w:t>Compensation and Human Capital Committee</w:t>
      </w:r>
      <w:r>
        <w:rPr>
          <w:rFonts w:ascii="ARIAL" w:hAnsi="ARIAL"/>
          <w:i/>
          <w:sz w:val="22"/>
        </w:rPr>
        <w:t>.</w:t>
      </w:r>
      <w:r>
        <w:rPr>
          <w:rFonts w:ascii="ARIAL" w:hAnsi="ARIAL"/>
          <w:sz w:val="22"/>
        </w:rPr>
        <w:t xml:space="preserve"> The Compensation and Human Capital Committee met seven times during 2025. The Board has affirmatively determined that each member of the Compensation and Human Capital Committee is an “independent director” for purposes of the Compensation and Human Capital Committee under the applicable SEC regulations, the applicable Nasdaq rules and the Company’s Corporate Governance Guidelines. </w:t>
      </w:r>
    </w:p>
    <w:p>
      <w:pPr>
        <w:pStyle w:val="TextBody"/>
        <w:bidi w:val="0"/>
        <w:spacing w:before="240" w:after="0"/>
        <w:jc w:val="center"/>
        <w:rPr>
          <w:rFonts w:ascii="ARIAL" w:hAnsi="ARIAL"/>
          <w:b/>
          <w:sz w:val="22"/>
        </w:rPr>
      </w:pPr>
      <w:r>
        <w:rPr>
          <w:rFonts w:ascii="ARIAL" w:hAnsi="ARIAL"/>
          <w:b/>
          <w:sz w:val="22"/>
        </w:rPr>
        <w:t xml:space="preserve">Compensation and Human Capital Committee Members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915" w:type="dxa"/>
        <w:jc w:val="left"/>
        <w:tblInd w:w="0" w:type="dxa"/>
        <w:tblLayout w:type="fixed"/>
        <w:tblCellMar>
          <w:top w:w="0" w:type="dxa"/>
          <w:left w:w="0" w:type="dxa"/>
          <w:bottom w:w="0" w:type="dxa"/>
          <w:right w:w="0" w:type="dxa"/>
        </w:tblCellMar>
      </w:tblPr>
      <w:tblGrid>
        <w:gridCol w:w="2915"/>
      </w:tblGrid>
      <w:tr>
        <w:trPr/>
        <w:tc>
          <w:tcPr>
            <w:tcW w:w="2915" w:type="dxa"/>
            <w:tcBorders/>
            <w:vAlign w:val="center"/>
          </w:tcPr>
          <w:p>
            <w:pPr>
              <w:pStyle w:val="TableContents"/>
              <w:bidi w:val="0"/>
              <w:spacing w:before="0" w:after="283"/>
              <w:jc w:val="left"/>
              <w:rPr>
                <w:sz w:val="4"/>
                <w:szCs w:val="4"/>
              </w:rPr>
            </w:pPr>
            <w:r>
              <w:rPr>
                <w:sz w:val="4"/>
                <w:szCs w:val="4"/>
              </w:rPr>
            </w:r>
          </w:p>
        </w:tc>
      </w:tr>
      <w:tr>
        <w:trPr/>
        <w:tc>
          <w:tcPr>
            <w:tcW w:w="2915" w:type="dxa"/>
            <w:tcBorders/>
            <w:shd w:fill="D5EBF6" w:val="clear"/>
            <w:vAlign w:val="center"/>
          </w:tcPr>
          <w:p>
            <w:pPr>
              <w:pStyle w:val="TableContents"/>
              <w:bidi w:val="0"/>
              <w:spacing w:before="0" w:after="283"/>
              <w:jc w:val="left"/>
              <w:rPr>
                <w:sz w:val="4"/>
                <w:szCs w:val="4"/>
              </w:rPr>
            </w:pPr>
            <w:r>
              <w:rPr>
                <w:sz w:val="4"/>
                <w:szCs w:val="4"/>
              </w:rPr>
            </w:r>
          </w:p>
        </w:tc>
      </w:tr>
      <w:tr>
        <w:trPr/>
        <w:tc>
          <w:tcPr>
            <w:tcW w:w="2915" w:type="dxa"/>
            <w:tcBorders/>
            <w:shd w:fill="D5EBF6" w:val="clear"/>
            <w:vAlign w:val="center"/>
          </w:tcPr>
          <w:p>
            <w:pPr>
              <w:pStyle w:val="TableContents"/>
              <w:bidi w:val="0"/>
              <w:spacing w:before="0" w:after="283"/>
              <w:jc w:val="center"/>
              <w:rPr/>
            </w:pPr>
            <w:r>
              <w:rPr/>
              <w:t>James P. Keane (Chairperson)</w:t>
            </w:r>
          </w:p>
        </w:tc>
      </w:tr>
      <w:tr>
        <w:trPr/>
        <w:tc>
          <w:tcPr>
            <w:tcW w:w="2915" w:type="dxa"/>
            <w:tcBorders/>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bidi w:val="0"/>
              <w:spacing w:before="0" w:after="283"/>
              <w:jc w:val="center"/>
              <w:rPr/>
            </w:pPr>
            <w:r>
              <w:rPr/>
              <w:t>Patrick D. Campbell</w:t>
            </w:r>
          </w:p>
        </w:tc>
      </w:tr>
      <w:tr>
        <w:trPr/>
        <w:tc>
          <w:tcPr>
            <w:tcW w:w="2915" w:type="dxa"/>
            <w:tcBorders/>
            <w:shd w:fill="D5EBF6" w:val="clear"/>
            <w:vAlign w:val="center"/>
          </w:tcPr>
          <w:p>
            <w:pPr>
              <w:pStyle w:val="TableContents"/>
              <w:bidi w:val="0"/>
              <w:spacing w:before="0" w:after="283"/>
              <w:jc w:val="left"/>
              <w:rPr>
                <w:sz w:val="4"/>
                <w:szCs w:val="4"/>
              </w:rPr>
            </w:pPr>
            <w:r>
              <w:rPr>
                <w:sz w:val="4"/>
                <w:szCs w:val="4"/>
              </w:rPr>
            </w:r>
          </w:p>
        </w:tc>
      </w:tr>
      <w:tr>
        <w:trPr/>
        <w:tc>
          <w:tcPr>
            <w:tcW w:w="2915" w:type="dxa"/>
            <w:tcBorders/>
            <w:shd w:fill="D5EBF6" w:val="clear"/>
            <w:vAlign w:val="center"/>
          </w:tcPr>
          <w:p>
            <w:pPr>
              <w:pStyle w:val="TableContents"/>
              <w:bidi w:val="0"/>
              <w:spacing w:before="0" w:after="283"/>
              <w:jc w:val="center"/>
              <w:rPr/>
            </w:pPr>
            <w:r>
              <w:rPr/>
              <w:t>Gary H. Pilnick</w:t>
            </w:r>
          </w:p>
        </w:tc>
      </w:tr>
      <w:tr>
        <w:trPr/>
        <w:tc>
          <w:tcPr>
            <w:tcW w:w="2915" w:type="dxa"/>
            <w:tcBorders/>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bidi w:val="0"/>
              <w:spacing w:before="0" w:after="283"/>
              <w:jc w:val="center"/>
              <w:rPr/>
            </w:pPr>
            <w:r>
              <w:rPr/>
              <w:t>Stephanie P. Stahl</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sz w:val="22"/>
        </w:rPr>
      </w:pPr>
      <w:r>
        <w:rPr>
          <w:rFonts w:ascii="ARIAL" w:hAnsi="ARIAL"/>
          <w:sz w:val="22"/>
        </w:rPr>
        <w:t xml:space="preserve">The Compensation and Human Capital Committee is principally responsible for: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reviewing and approving the compensation for executive officers, including the CEO;</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making recommendations to the Board with respect to incentive-compensation plans, equity-based plans and director compensation;</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reviewing and approving grants and awards under equity and non-equity incentive compensation plans, including performance goals, as applicable; and</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overseeing the Company’s compensation strategies and policies regarding human capital and talent management.</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The Compensation and Human Capital Committee may, in its discretion, delegate all or a portion of its duties and responsibilities to a subcommittee of the Compensation and Human Capital Committee. Additional information on the Compensation and Human Capital Committee’s processes and procedures for the selection of a compensation consultant and consideration and determination of executive and director compensation is addressed below under the caption “</w:t>
      </w:r>
      <w:r>
        <w:rPr>
          <w:rFonts w:ascii="ARIAL" w:hAnsi="ARIAL"/>
          <w:i/>
          <w:sz w:val="22"/>
        </w:rPr>
        <w:t>Executive Compensation—Compensation Discussion and Analysis</w:t>
      </w:r>
      <w:r>
        <w:rPr>
          <w:rFonts w:ascii="ARIAL" w:hAnsi="ARIAL"/>
          <w:sz w:val="22"/>
        </w:rPr>
        <w:t xml:space="preserve">.” </w:t>
      </w:r>
    </w:p>
    <w:p>
      <w:pPr>
        <w:pStyle w:val="TextBody"/>
        <w:bidi w:val="0"/>
        <w:spacing w:before="240" w:after="0"/>
        <w:jc w:val="both"/>
        <w:rPr>
          <w:rFonts w:ascii="ARIAL" w:hAnsi="ARIAL"/>
          <w:sz w:val="22"/>
        </w:rPr>
      </w:pPr>
      <w:r>
        <w:rPr>
          <w:rFonts w:ascii="ARIAL" w:hAnsi="ARIAL"/>
          <w:i/>
          <w:sz w:val="22"/>
          <w:u w:val="single"/>
        </w:rPr>
        <w:t>Nominating/Governance Committee</w:t>
      </w:r>
      <w:r>
        <w:rPr>
          <w:rFonts w:ascii="ARIAL" w:hAnsi="ARIAL"/>
          <w:i/>
          <w:sz w:val="22"/>
        </w:rPr>
        <w:t>.</w:t>
      </w:r>
      <w:r>
        <w:rPr>
          <w:rFonts w:ascii="ARIAL" w:hAnsi="ARIAL"/>
          <w:sz w:val="22"/>
        </w:rPr>
        <w:t xml:space="preserve"> The Nominating/Governance Committee met four times during 2025. The Board has affirmatively determined that each member of the committee is an “independent director” for purposes of the Nominating/Governance Committee under the applicable SEC regulations, the applicable Nasdaq rules and the Company’s Corporate Governance Guidelines.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2"/>
        </w:rPr>
      </w:pPr>
      <w:r>
        <w:rPr>
          <w:rFonts w:ascii="ARIAL" w:hAnsi="ARIAL"/>
          <w:b/>
          <w:sz w:val="22"/>
        </w:rPr>
        <w:t xml:space="preserve">Nominating/Governance Committee Members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3350" w:type="dxa"/>
        <w:jc w:val="left"/>
        <w:tblInd w:w="0" w:type="dxa"/>
        <w:tblLayout w:type="fixed"/>
        <w:tblCellMar>
          <w:top w:w="0" w:type="dxa"/>
          <w:left w:w="0" w:type="dxa"/>
          <w:bottom w:w="0" w:type="dxa"/>
          <w:right w:w="0" w:type="dxa"/>
        </w:tblCellMar>
      </w:tblPr>
      <w:tblGrid>
        <w:gridCol w:w="3350"/>
      </w:tblGrid>
      <w:tr>
        <w:trPr/>
        <w:tc>
          <w:tcPr>
            <w:tcW w:w="3350"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D5EBF6" w:val="clear"/>
            <w:vAlign w:val="center"/>
          </w:tcPr>
          <w:p>
            <w:pPr>
              <w:pStyle w:val="TableContents"/>
              <w:bidi w:val="0"/>
              <w:spacing w:before="0" w:after="283"/>
              <w:jc w:val="left"/>
              <w:rPr>
                <w:sz w:val="4"/>
                <w:szCs w:val="4"/>
              </w:rPr>
            </w:pPr>
            <w:r>
              <w:rPr>
                <w:sz w:val="4"/>
                <w:szCs w:val="4"/>
              </w:rPr>
            </w:r>
          </w:p>
        </w:tc>
      </w:tr>
      <w:tr>
        <w:trPr/>
        <w:tc>
          <w:tcPr>
            <w:tcW w:w="3350" w:type="dxa"/>
            <w:tcBorders/>
            <w:shd w:fill="D5EBF6" w:val="clear"/>
            <w:vAlign w:val="center"/>
          </w:tcPr>
          <w:p>
            <w:pPr>
              <w:pStyle w:val="TableContents"/>
              <w:bidi w:val="0"/>
              <w:spacing w:before="0" w:after="283"/>
              <w:jc w:val="center"/>
              <w:rPr/>
            </w:pPr>
            <w:r>
              <w:rPr/>
              <w:t>Patrick D. Campbell (Chairperson)</w:t>
            </w:r>
          </w:p>
        </w:tc>
      </w:tr>
      <w:tr>
        <w:trPr/>
        <w:tc>
          <w:tcPr>
            <w:tcW w:w="335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center"/>
              <w:rPr/>
            </w:pPr>
            <w:r>
              <w:rPr/>
              <w:t>Gerardo I. Lopez</w:t>
            </w:r>
          </w:p>
        </w:tc>
      </w:tr>
      <w:tr>
        <w:trPr/>
        <w:tc>
          <w:tcPr>
            <w:tcW w:w="3350" w:type="dxa"/>
            <w:tcBorders/>
            <w:shd w:fill="D5EBF6" w:val="clear"/>
            <w:vAlign w:val="center"/>
          </w:tcPr>
          <w:p>
            <w:pPr>
              <w:pStyle w:val="TableContents"/>
              <w:bidi w:val="0"/>
              <w:spacing w:before="0" w:after="283"/>
              <w:jc w:val="left"/>
              <w:rPr>
                <w:sz w:val="4"/>
                <w:szCs w:val="4"/>
              </w:rPr>
            </w:pPr>
            <w:r>
              <w:rPr>
                <w:sz w:val="4"/>
                <w:szCs w:val="4"/>
              </w:rPr>
            </w:r>
          </w:p>
        </w:tc>
      </w:tr>
      <w:tr>
        <w:trPr/>
        <w:tc>
          <w:tcPr>
            <w:tcW w:w="3350" w:type="dxa"/>
            <w:tcBorders/>
            <w:shd w:fill="D5EBF6" w:val="clear"/>
            <w:vAlign w:val="center"/>
          </w:tcPr>
          <w:p>
            <w:pPr>
              <w:pStyle w:val="TableContents"/>
              <w:bidi w:val="0"/>
              <w:spacing w:before="0" w:after="283"/>
              <w:jc w:val="center"/>
              <w:rPr/>
            </w:pPr>
            <w:r>
              <w:rPr/>
              <w:t>Judith A. Sprieser(1)</w:t>
            </w:r>
          </w:p>
        </w:tc>
      </w:tr>
      <w:tr>
        <w:trPr/>
        <w:tc>
          <w:tcPr>
            <w:tcW w:w="335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center"/>
              <w:rPr/>
            </w:pPr>
            <w:r>
              <w:rPr/>
              <w:t>Stephanie P. Stahl</w:t>
            </w:r>
          </w:p>
        </w:tc>
      </w:tr>
      <w:tr>
        <w:trPr/>
        <w:tc>
          <w:tcPr>
            <w:tcW w:w="3350" w:type="dxa"/>
            <w:tcBorders/>
            <w:shd w:fill="D5EBF6" w:val="clear"/>
            <w:vAlign w:val="center"/>
          </w:tcPr>
          <w:p>
            <w:pPr>
              <w:pStyle w:val="TableContents"/>
              <w:bidi w:val="0"/>
              <w:spacing w:before="0" w:after="283"/>
              <w:jc w:val="left"/>
              <w:rPr>
                <w:sz w:val="4"/>
                <w:szCs w:val="4"/>
              </w:rPr>
            </w:pPr>
            <w:r>
              <w:rPr>
                <w:sz w:val="4"/>
                <w:szCs w:val="4"/>
              </w:rPr>
            </w:r>
          </w:p>
        </w:tc>
      </w:tr>
      <w:tr>
        <w:trPr/>
        <w:tc>
          <w:tcPr>
            <w:tcW w:w="3350" w:type="dxa"/>
            <w:tcBorders/>
            <w:shd w:fill="D5EBF6" w:val="clear"/>
            <w:vAlign w:val="center"/>
          </w:tcPr>
          <w:p>
            <w:pPr>
              <w:pStyle w:val="TableContents"/>
              <w:bidi w:val="0"/>
              <w:spacing w:before="0" w:after="283"/>
              <w:jc w:val="center"/>
              <w:rPr/>
            </w:pPr>
            <w:r>
              <w:rPr/>
              <w:t>Anthony Terry</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0"/>
              <w:jc w:val="both"/>
              <w:rPr>
                <w:rFonts w:ascii="ARIAL" w:hAnsi="ARIAL"/>
                <w:sz w:val="18"/>
              </w:rPr>
            </w:pPr>
            <w:r>
              <w:rPr>
                <w:rFonts w:ascii="ARIAL" w:hAnsi="ARIAL"/>
                <w:sz w:val="18"/>
              </w:rPr>
              <w:t xml:space="preserve">Ms. Sprieser is not standing for re-election to the Board and therefore will not serve on the Nominating/Governance Committee as of May 7, 2026. </w:t>
            </w:r>
          </w:p>
        </w:tc>
      </w:tr>
    </w:tbl>
    <w:p>
      <w:pPr>
        <w:pStyle w:val="TextBody"/>
        <w:bidi w:val="0"/>
        <w:spacing w:before="240" w:after="0"/>
        <w:jc w:val="both"/>
        <w:rPr>
          <w:rFonts w:ascii="ARIAL" w:hAnsi="ARIAL"/>
          <w:sz w:val="22"/>
        </w:rPr>
      </w:pPr>
      <w:r>
        <w:rPr>
          <w:rFonts w:ascii="ARIAL" w:hAnsi="ARIAL"/>
          <w:sz w:val="22"/>
        </w:rPr>
        <w:t xml:space="preserve">The Nominating/Governance Committee is principally responsible for: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  identifying and recommending to the Board candidates for nomination or election as directors;</w:t>
            </w:r>
          </w:p>
          <w:p>
            <w:pPr>
              <w:pStyle w:val="TableContents"/>
              <w:bidi w:val="0"/>
              <w:spacing w:before="0" w:after="20"/>
              <w:jc w:val="left"/>
              <w:rPr/>
            </w:pPr>
            <w:r>
              <w:rPr/>
              <w:t> </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  reviewing and recommending to the Board appointments to Board committees;</w:t>
            </w:r>
          </w:p>
          <w:p>
            <w:pPr>
              <w:pStyle w:val="TableContents"/>
              <w:bidi w:val="0"/>
              <w:spacing w:before="0" w:after="20"/>
              <w:jc w:val="left"/>
              <w:rPr/>
            </w:pPr>
            <w:r>
              <w:rPr/>
              <w:t> </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  developing and recommending to the Board corporate governance guidelines for the Company and any changes to those guidelines;</w:t>
            </w:r>
          </w:p>
          <w:p>
            <w:pPr>
              <w:pStyle w:val="TableContents"/>
              <w:bidi w:val="0"/>
              <w:spacing w:before="0" w:after="20"/>
              <w:jc w:val="left"/>
              <w:rPr/>
            </w:pPr>
            <w:r>
              <w:rPr/>
              <w:t> </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  reviewing, from time to time, the Company’s Code of Conduct and certain other policies and programs intended to promote compliance by the Company with its legal and ethical obligations, and recommending to the Board any changes to the Company’s Code of Conduct and such policies and programs;</w:t>
            </w:r>
          </w:p>
          <w:p>
            <w:pPr>
              <w:pStyle w:val="TableContents"/>
              <w:bidi w:val="0"/>
              <w:spacing w:before="0" w:after="20"/>
              <w:jc w:val="left"/>
              <w:rPr/>
            </w:pPr>
            <w:r>
              <w:rPr/>
              <w:t> </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  reviewing environmental, health and safety compliance, sustainability and other corporate citizenship programs and government relations; and</w:t>
            </w:r>
          </w:p>
          <w:p>
            <w:pPr>
              <w:pStyle w:val="TableContents"/>
              <w:bidi w:val="0"/>
              <w:spacing w:before="0" w:after="20"/>
              <w:jc w:val="left"/>
              <w:rPr/>
            </w:pPr>
            <w:r>
              <w:rPr/>
              <w:t> </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  overseeing the Board’s annual evaluation of its own performance.</w:t>
            </w:r>
          </w:p>
          <w:p>
            <w:pPr>
              <w:pStyle w:val="TableContents"/>
              <w:bidi w:val="0"/>
              <w:spacing w:before="0" w:after="20"/>
              <w:jc w:val="left"/>
              <w:rPr/>
            </w:pPr>
            <w:r>
              <w:rPr/>
              <w:t>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240" w:after="0"/>
        <w:jc w:val="both"/>
        <w:rPr>
          <w:rFonts w:ascii="ARIAL" w:hAnsi="ARIAL"/>
          <w:sz w:val="22"/>
        </w:rPr>
      </w:pPr>
      <w:r>
        <w:rPr>
          <w:rFonts w:ascii="ARIAL" w:hAnsi="ARIAL"/>
          <w:sz w:val="22"/>
        </w:rPr>
        <w:t xml:space="preserve">Each of the above referenced committees acts pursuant to a written charter that is available under the “Corporate Governance” link under the “Investors” tab on the Company’s website at </w:t>
      </w:r>
      <w:r>
        <w:rPr>
          <w:rFonts w:ascii="ARIAL" w:hAnsi="ARIAL"/>
          <w:i/>
          <w:sz w:val="22"/>
        </w:rPr>
        <w:t>www.newellbrands.com</w:t>
      </w:r>
      <w:r>
        <w:rPr>
          <w:rFonts w:ascii="ARIAL" w:hAnsi="ARIAL"/>
          <w:sz w:val="22"/>
        </w:rPr>
        <w:t xml:space="preserve"> and may be obtained in print without charge upon written request by any stockholder to the office of the Corporate Secretary of the Company at 5 Concourse Parkway, NE, 8th Floor, Atlanta, Georgia 30328. </w:t>
      </w:r>
    </w:p>
    <w:p>
      <w:pPr>
        <w:pStyle w:val="TextBody"/>
        <w:bidi w:val="0"/>
        <w:spacing w:before="360" w:after="0"/>
        <w:jc w:val="left"/>
        <w:rPr>
          <w:rFonts w:ascii="ARIAL" w:hAnsi="ARIAL"/>
          <w:b/>
          <w:color w:val="248EC3"/>
          <w:sz w:val="22"/>
        </w:rPr>
      </w:pPr>
      <w:r>
        <w:rPr>
          <w:rFonts w:ascii="ARIAL" w:hAnsi="ARIAL"/>
          <w:b/>
          <w:color w:val="248EC3"/>
          <w:sz w:val="22"/>
        </w:rPr>
        <w:t xml:space="preserve">BOARD AND MANAGEMENT ROLES IN RISK OVERSIGHT </w:t>
      </w:r>
    </w:p>
    <w:p>
      <w:pPr>
        <w:pStyle w:val="TextBody"/>
        <w:bidi w:val="0"/>
        <w:spacing w:before="240" w:after="0"/>
        <w:jc w:val="both"/>
        <w:rPr>
          <w:rFonts w:ascii="ARIAL" w:hAnsi="ARIAL"/>
          <w:sz w:val="22"/>
        </w:rPr>
      </w:pPr>
      <w:r>
        <w:rPr>
          <w:rFonts w:ascii="ARIAL" w:hAnsi="ARIAL"/>
          <w:sz w:val="22"/>
        </w:rPr>
        <w:t xml:space="preserve">Management is responsible for the day-to-day management of risk, while the Board, as a whole and through its committees, provides oversight of the Company’s risk management. The Board engages in risk oversight throughout the year as a matter of course in fulfilling its role overseeing management and business operations. In addition, each year, the full Board receives reports on the strategic plans and related risks facing the Company from senior management, including reports from the Company’s individual functions and businesses and their respective management teams. As detailed below, these risks include, but are not limited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to, environmental, social and governance-related risks, financial risks, political and regulatory risks, legal risks, supply chain risks, competitive risks, privacy and information technology risks and other risks relevant to the Company and the way it conducts business.</w:t>
      </w:r>
    </w:p>
    <w:p>
      <w:pPr>
        <w:pStyle w:val="TextBody"/>
        <w:bidi w:val="0"/>
        <w:spacing w:before="240" w:after="0"/>
        <w:jc w:val="both"/>
        <w:rPr>
          <w:rFonts w:ascii="ARIAL" w:hAnsi="ARIAL"/>
          <w:sz w:val="22"/>
        </w:rPr>
      </w:pPr>
      <w:r>
        <w:rPr>
          <w:rFonts w:ascii="ARIAL" w:hAnsi="ARIAL"/>
          <w:sz w:val="22"/>
        </w:rPr>
        <w:t xml:space="preserve">The Board has delegated to its committees certain elements of its risk oversight function to better coordinate with management and serve the long-term interests of stockholders.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784"/>
        <w:gridCol w:w="120"/>
        <w:gridCol w:w="8301"/>
      </w:tblGrid>
      <w:tr>
        <w:trPr/>
        <w:tc>
          <w:tcPr>
            <w:tcW w:w="17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1" w:type="dxa"/>
            <w:tcBorders/>
            <w:vAlign w:val="center"/>
          </w:tcPr>
          <w:p>
            <w:pPr>
              <w:pStyle w:val="TableContents"/>
              <w:bidi w:val="0"/>
              <w:spacing w:before="0" w:after="283"/>
              <w:jc w:val="left"/>
              <w:rPr>
                <w:sz w:val="4"/>
                <w:szCs w:val="4"/>
              </w:rPr>
            </w:pPr>
            <w:r>
              <w:rPr>
                <w:sz w:val="4"/>
                <w:szCs w:val="4"/>
              </w:rPr>
            </w:r>
          </w:p>
        </w:tc>
      </w:tr>
      <w:tr>
        <w:trPr/>
        <w:tc>
          <w:tcPr>
            <w:tcW w:w="1784" w:type="dxa"/>
            <w:tcBorders>
              <w:top w:val="single" w:sz="6" w:space="0" w:color="000000"/>
            </w:tcBorders>
            <w:shd w:fill="D5EBF6" w:val="clear"/>
            <w:tcMar>
              <w:top w:w="28" w:type="dxa"/>
            </w:tcMar>
            <w:vAlign w:val="center"/>
          </w:tcPr>
          <w:p>
            <w:pPr>
              <w:pStyle w:val="TableContents"/>
              <w:bidi w:val="0"/>
              <w:spacing w:before="0" w:after="283"/>
              <w:jc w:val="center"/>
              <w:rPr>
                <w:b/>
              </w:rPr>
            </w:pPr>
            <w:r>
              <w:rPr>
                <w:b/>
              </w:rPr>
              <w:t>Audit Committee</w:t>
            </w:r>
          </w:p>
        </w:tc>
        <w:tc>
          <w:tcPr>
            <w:tcW w:w="120" w:type="dxa"/>
            <w:tcBorders>
              <w:top w:val="single" w:sz="6" w:space="0" w:color="000000"/>
              <w:left w:val="single" w:sz="6" w:space="0" w:color="000000"/>
            </w:tcBorders>
            <w:shd w:fill="D5EBF6" w:val="clear"/>
            <w:tcMar>
              <w:top w:w="28" w:type="dxa"/>
              <w:left w:w="28" w:type="dxa"/>
            </w:tcMar>
            <w:vAlign w:val="center"/>
          </w:tcPr>
          <w:p>
            <w:pPr>
              <w:pStyle w:val="TableContents"/>
              <w:bidi w:val="0"/>
              <w:spacing w:before="0" w:after="283"/>
              <w:jc w:val="left"/>
              <w:rPr/>
            </w:pPr>
            <w:r>
              <w:rPr/>
              <w:t>  </w:t>
            </w:r>
          </w:p>
        </w:tc>
        <w:tc>
          <w:tcPr>
            <w:tcW w:w="8301" w:type="dxa"/>
            <w:tcBorders>
              <w:top w:val="single" w:sz="6" w:space="0" w:color="000000"/>
            </w:tcBorders>
            <w:shd w:fill="D5EBF6" w:val="clear"/>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oversees the Company’s risk management process, with specific focus on internal controls, financial statement integrity, compliance programs, fraud risk, legal matters and related risk mitigation;</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reviews and discusses with management, and, as appropriate, the Company’s internal auditors and the Company’s independent registered public accounting firm, the Company’s risk assessments, the risk management process and issues related to the management of the Company’s business;</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reviews the status of data privacy and security for the Company’s electronic data processing and information systems;</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oversees an annual enterprise risk management update, which discusses the Company’s major financial, strategic, operational, cybersecurity and compliance risk exposures and the steps management has taken to monitor and control such exposures (the results of this assessment are also reviewed with the full Board); and</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reviews the Company’s tax planning and treasury activities.</w:t>
            </w:r>
          </w:p>
          <w:p>
            <w:pPr>
              <w:pStyle w:val="TableContents"/>
              <w:bidi w:val="0"/>
              <w:spacing w:before="0" w:after="20"/>
              <w:jc w:val="left"/>
              <w:rPr/>
            </w:pPr>
            <w:r>
              <w:rPr/>
              <w:t> </w:t>
            </w:r>
          </w:p>
        </w:tc>
      </w:tr>
      <w:tr>
        <w:trPr/>
        <w:tc>
          <w:tcPr>
            <w:tcW w:w="1784" w:type="dxa"/>
            <w:tcBorders/>
            <w:vAlign w:val="center"/>
          </w:tcPr>
          <w:p>
            <w:pPr>
              <w:pStyle w:val="TableContents"/>
              <w:bidi w:val="0"/>
              <w:spacing w:before="0" w:after="283"/>
              <w:jc w:val="center"/>
              <w:rPr>
                <w:b/>
              </w:rPr>
            </w:pPr>
            <w:r>
              <w:rPr>
                <w:b/>
              </w:rPr>
              <w:t>Compensation and Human</w:t>
              <w:br/>
              <w:t>Capital Committee</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301"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reviews the risk profile of the Company’s compensation policies and practices, including a review of an assessment of the Company’s compensation programs, as described below; and</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manages risks associated with employee compensation, employee retention and employee recruitment.</w:t>
            </w:r>
          </w:p>
          <w:p>
            <w:pPr>
              <w:pStyle w:val="TableContents"/>
              <w:bidi w:val="0"/>
              <w:spacing w:before="0" w:after="20"/>
              <w:jc w:val="left"/>
              <w:rPr/>
            </w:pPr>
            <w:r>
              <w:rPr/>
              <w:t> </w:t>
            </w:r>
          </w:p>
        </w:tc>
      </w:tr>
      <w:tr>
        <w:trPr/>
        <w:tc>
          <w:tcPr>
            <w:tcW w:w="1784" w:type="dxa"/>
            <w:tcBorders>
              <w:bottom w:val="single" w:sz="6" w:space="0" w:color="000000"/>
            </w:tcBorders>
            <w:shd w:fill="D5EBF6" w:val="clear"/>
            <w:tcMar>
              <w:bottom w:w="28" w:type="dxa"/>
            </w:tcMar>
            <w:vAlign w:val="center"/>
          </w:tcPr>
          <w:p>
            <w:pPr>
              <w:pStyle w:val="TableContents"/>
              <w:bidi w:val="0"/>
              <w:spacing w:before="0" w:after="283"/>
              <w:jc w:val="center"/>
              <w:rPr>
                <w:b/>
              </w:rPr>
            </w:pPr>
            <w:r>
              <w:rPr>
                <w:b/>
              </w:rPr>
              <w:t>Nominating/Governance</w:t>
              <w:br/>
              <w:t>Committee</w:t>
            </w:r>
          </w:p>
        </w:tc>
        <w:tc>
          <w:tcPr>
            <w:tcW w:w="120" w:type="dxa"/>
            <w:tcBorders>
              <w:left w:val="single" w:sz="6" w:space="0" w:color="000000"/>
              <w:bottom w:val="single" w:sz="6" w:space="0" w:color="000000"/>
            </w:tcBorders>
            <w:shd w:fill="D5EBF6" w:val="clear"/>
            <w:tcMar>
              <w:left w:w="28" w:type="dxa"/>
              <w:bottom w:w="28" w:type="dxa"/>
            </w:tcMar>
            <w:vAlign w:val="center"/>
          </w:tcPr>
          <w:p>
            <w:pPr>
              <w:pStyle w:val="TableContents"/>
              <w:bidi w:val="0"/>
              <w:spacing w:before="0" w:after="283"/>
              <w:jc w:val="left"/>
              <w:rPr/>
            </w:pPr>
            <w:r>
              <w:rPr/>
              <w:t>  </w:t>
            </w:r>
          </w:p>
        </w:tc>
        <w:tc>
          <w:tcPr>
            <w:tcW w:w="8301" w:type="dxa"/>
            <w:tcBorders>
              <w:bottom w:val="single" w:sz="6" w:space="0" w:color="000000"/>
            </w:tcBorders>
            <w:shd w:fill="D5EBF6" w:val="clear"/>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monitors risks relating to governance matters and recommends appropriate actions in response to those risks; and</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oversees Code of Conduct-related compliance programs, health and safety compliance, corporate citizenship and government relations.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 xml:space="preserve">The Board believes the allocation of risk management responsibilities described above supplements the Board’s leadership structure by allocating risk areas to an appropriate committee for oversight, allows for an orderly escalation of issues as necessary, and helps the Board satisfy its risk oversight responsibilities.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248EC3"/>
          <w:sz w:val="22"/>
        </w:rPr>
      </w:pPr>
      <w:r>
        <w:rPr>
          <w:rFonts w:ascii="ARIAL" w:hAnsi="ARIAL"/>
          <w:b/>
          <w:color w:val="248EC3"/>
          <w:sz w:val="22"/>
        </w:rPr>
        <w:t xml:space="preserve">RISK ASSESSMENT OF COMPENSATION PROGRAMS </w:t>
      </w:r>
    </w:p>
    <w:p>
      <w:pPr>
        <w:pStyle w:val="TextBody"/>
        <w:bidi w:val="0"/>
        <w:spacing w:before="240" w:after="0"/>
        <w:jc w:val="both"/>
        <w:rPr>
          <w:rFonts w:ascii="ARIAL" w:hAnsi="ARIAL"/>
          <w:sz w:val="22"/>
        </w:rPr>
      </w:pPr>
      <w:r>
        <w:rPr>
          <w:rFonts w:ascii="ARIAL" w:hAnsi="ARIAL"/>
          <w:sz w:val="22"/>
        </w:rPr>
        <w:t xml:space="preserve">With respect to compensation practices, the Compensation and Human Capital Committee considered, with the assistance of management and the independent compensation consultant, whether the Company’s compensation policies and practices in 2025 for its employees, including the named executive officers, would motivate inappropriate levels of risk taking that could have a material adverse effect on the Company. The Compensation and Human Capital Committee determined that risks arising from our compensation policies are not reasonably likely to have a material adverse effect. The Compensation and Human Capital Committee has noted the following aspects of the executive compensation program that serve to mitigate any potential risk: </w:t>
      </w:r>
    </w:p>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both"/>
              <w:rPr>
                <w:rFonts w:ascii="ARIAL" w:hAnsi="ARIAL"/>
                <w:sz w:val="22"/>
              </w:rPr>
            </w:pPr>
            <w:r>
              <w:rPr>
                <w:rFonts w:ascii="ARIAL" w:hAnsi="ARIAL"/>
                <w:sz w:val="22"/>
              </w:rPr>
              <w:t xml:space="preserve">The program provides an appropriate balance between fixed and variable compensation.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both"/>
              <w:rPr>
                <w:rFonts w:ascii="ARIAL" w:hAnsi="ARIAL"/>
                <w:sz w:val="22"/>
              </w:rPr>
            </w:pPr>
            <w:r>
              <w:rPr>
                <w:rFonts w:ascii="ARIAL" w:hAnsi="ARIAL"/>
                <w:sz w:val="22"/>
              </w:rPr>
              <w:t xml:space="preserve">Annual bonus payouts are based on a variety of performance metrics.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2"/>
              </w:rPr>
            </w:pPr>
            <w:r>
              <w:rPr>
                <w:rFonts w:ascii="ARIAL" w:hAnsi="ARIAL"/>
                <w:sz w:val="22"/>
              </w:rPr>
              <w:t xml:space="preserve">LTIP awards are generally subject to a three-year cliff vesting, or three-year ratable vesting, promoting employee development and retention.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2"/>
              </w:rPr>
            </w:pPr>
            <w:r>
              <w:rPr>
                <w:rFonts w:ascii="ARIAL" w:hAnsi="ARIAL"/>
                <w:sz w:val="22"/>
              </w:rPr>
              <w:t xml:space="preserve">Stock ownership guidelines link executives’ interests to increasing the value of the Company’s common stock over the long-term, thus aligning management’s interest with those of the Company’s stockholders.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both"/>
              <w:rPr>
                <w:rFonts w:ascii="ARIAL" w:hAnsi="ARIAL"/>
                <w:sz w:val="22"/>
              </w:rPr>
            </w:pPr>
            <w:r>
              <w:rPr>
                <w:rFonts w:ascii="ARIAL" w:hAnsi="ARIAL"/>
                <w:sz w:val="22"/>
              </w:rPr>
              <w:t xml:space="preserve">Executive incentive awards are subject to an incentive recoupment policy.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both"/>
              <w:rPr>
                <w:rFonts w:ascii="ARIAL" w:hAnsi="ARIAL"/>
                <w:sz w:val="22"/>
              </w:rPr>
            </w:pPr>
            <w:r>
              <w:rPr>
                <w:rFonts w:ascii="ARIAL" w:hAnsi="ARIAL"/>
                <w:sz w:val="22"/>
              </w:rPr>
              <w:t xml:space="preserve">The hedging and pledging of Company securities by executive officers is prohibited. </w:t>
            </w:r>
          </w:p>
        </w:tc>
      </w:tr>
    </w:tbl>
    <w:p>
      <w:pPr>
        <w:pStyle w:val="TextBody"/>
        <w:bidi w:val="0"/>
        <w:spacing w:before="360" w:after="0"/>
        <w:jc w:val="left"/>
        <w:rPr>
          <w:rFonts w:ascii="ARIAL" w:hAnsi="ARIAL"/>
          <w:b/>
          <w:color w:val="248EC3"/>
          <w:sz w:val="22"/>
        </w:rPr>
      </w:pPr>
      <w:r>
        <w:rPr>
          <w:rFonts w:ascii="ARIAL" w:hAnsi="ARIAL"/>
          <w:b/>
          <w:color w:val="248EC3"/>
          <w:sz w:val="22"/>
        </w:rPr>
        <w:t xml:space="preserve">SECURITIES TRANSACTION POLICY </w:t>
      </w:r>
    </w:p>
    <w:p>
      <w:pPr>
        <w:pStyle w:val="TextBody"/>
        <w:bidi w:val="0"/>
        <w:spacing w:before="240" w:after="0"/>
        <w:jc w:val="both"/>
        <w:rPr>
          <w:rFonts w:ascii="ARIAL" w:hAnsi="ARIAL"/>
          <w:sz w:val="22"/>
        </w:rPr>
      </w:pPr>
      <w:r>
        <w:rPr>
          <w:rFonts w:ascii="ARIAL" w:hAnsi="ARIAL"/>
          <w:sz w:val="22"/>
        </w:rPr>
        <w:t xml:space="preserve">The Company’s Securities Transaction Policy prohibits all directors, officers, and employees who may, as a result of their position with the Company, have access to material </w:t>
      </w:r>
    </w:p>
    <w:p>
      <w:pPr>
        <w:pStyle w:val="TextBody"/>
        <w:bidi w:val="0"/>
        <w:spacing w:before="240" w:after="0"/>
        <w:jc w:val="both"/>
        <w:rPr>
          <w:rFonts w:ascii="ARIAL" w:hAnsi="ARIAL"/>
          <w:sz w:val="22"/>
        </w:rPr>
      </w:pPr>
      <w:r>
        <w:rPr>
          <w:rFonts w:ascii="ARIAL" w:hAnsi="ARIAL"/>
          <w:sz w:val="22"/>
        </w:rPr>
        <w:t>non-public</w:t>
      </w:r>
    </w:p>
    <w:p>
      <w:pPr>
        <w:pStyle w:val="TextBody"/>
        <w:bidi w:val="0"/>
        <w:spacing w:before="240" w:after="0"/>
        <w:jc w:val="both"/>
        <w:rPr>
          <w:rFonts w:ascii="ARIAL" w:hAnsi="ARIAL"/>
          <w:sz w:val="22"/>
        </w:rPr>
      </w:pPr>
      <w:r>
        <w:rPr>
          <w:rFonts w:ascii="ARIAL" w:hAnsi="ARIAL"/>
          <w:sz w:val="22"/>
        </w:rPr>
        <w:t xml:space="preserve">information and certain family members of each of the foregoing from trading in the Company’s securities while aware of material </w:t>
      </w:r>
    </w:p>
    <w:p>
      <w:pPr>
        <w:pStyle w:val="TextBody"/>
        <w:bidi w:val="0"/>
        <w:spacing w:before="240" w:after="0"/>
        <w:jc w:val="both"/>
        <w:rPr>
          <w:rFonts w:ascii="ARIAL" w:hAnsi="ARIAL"/>
          <w:sz w:val="22"/>
        </w:rPr>
      </w:pPr>
      <w:r>
        <w:rPr>
          <w:rFonts w:ascii="ARIAL" w:hAnsi="ARIAL"/>
          <w:sz w:val="22"/>
        </w:rPr>
        <w:t>non-public</w:t>
      </w:r>
    </w:p>
    <w:p>
      <w:pPr>
        <w:pStyle w:val="TextBody"/>
        <w:bidi w:val="0"/>
        <w:spacing w:before="240" w:after="0"/>
        <w:jc w:val="both"/>
        <w:rPr>
          <w:rFonts w:ascii="ARIAL" w:hAnsi="ARIAL"/>
          <w:sz w:val="22"/>
        </w:rPr>
      </w:pPr>
      <w:r>
        <w:rPr>
          <w:rFonts w:ascii="ARIAL" w:hAnsi="ARIAL"/>
          <w:sz w:val="22"/>
        </w:rPr>
        <w:t xml:space="preserve">information. The Securities Transaction Policy also prohibits providing any such material </w:t>
      </w:r>
    </w:p>
    <w:p>
      <w:pPr>
        <w:pStyle w:val="TextBody"/>
        <w:bidi w:val="0"/>
        <w:spacing w:before="240" w:after="0"/>
        <w:jc w:val="both"/>
        <w:rPr>
          <w:rFonts w:ascii="ARIAL" w:hAnsi="ARIAL"/>
          <w:sz w:val="22"/>
        </w:rPr>
      </w:pPr>
      <w:r>
        <w:rPr>
          <w:rFonts w:ascii="ARIAL" w:hAnsi="ARIAL"/>
          <w:sz w:val="22"/>
        </w:rPr>
        <w:t>non-public</w:t>
      </w:r>
    </w:p>
    <w:p>
      <w:pPr>
        <w:pStyle w:val="TextBody"/>
        <w:bidi w:val="0"/>
        <w:spacing w:before="240" w:after="0"/>
        <w:jc w:val="both"/>
        <w:rPr>
          <w:rFonts w:ascii="ARIAL" w:hAnsi="ARIAL"/>
          <w:sz w:val="22"/>
        </w:rPr>
      </w:pPr>
      <w:r>
        <w:rPr>
          <w:rFonts w:ascii="ARIAL" w:hAnsi="ARIAL"/>
          <w:sz w:val="22"/>
        </w:rPr>
        <w:t xml:space="preserve">information to any other person who may trade in securities while aware of such information. The Securities Transaction Policy has procedures that require transactions in our stock by executive officers, directors and other designated employees only be made during open trading windows after satisfying mandatory </w:t>
      </w:r>
    </w:p>
    <w:p>
      <w:pPr>
        <w:pStyle w:val="TextBody"/>
        <w:bidi w:val="0"/>
        <w:spacing w:before="240" w:after="0"/>
        <w:jc w:val="both"/>
        <w:rPr>
          <w:rFonts w:ascii="ARIAL" w:hAnsi="ARIAL"/>
          <w:sz w:val="22"/>
        </w:rPr>
      </w:pPr>
      <w:r>
        <w:rPr>
          <w:rFonts w:ascii="ARIAL" w:hAnsi="ARIAL"/>
          <w:sz w:val="22"/>
        </w:rPr>
        <w:t>pre-clearance</w:t>
      </w:r>
    </w:p>
    <w:p>
      <w:pPr>
        <w:pStyle w:val="TextBody"/>
        <w:bidi w:val="0"/>
        <w:spacing w:before="240" w:after="0"/>
        <w:jc w:val="both"/>
        <w:rPr>
          <w:rFonts w:ascii="ARIAL" w:hAnsi="ARIAL"/>
          <w:sz w:val="22"/>
        </w:rPr>
      </w:pPr>
      <w:r>
        <w:rPr>
          <w:rFonts w:ascii="ARIAL" w:hAnsi="ARIAL"/>
          <w:sz w:val="22"/>
        </w:rPr>
        <w:t xml:space="preserve">requirements. </w:t>
      </w:r>
    </w:p>
    <w:p>
      <w:pPr>
        <w:pStyle w:val="TextBody"/>
        <w:bidi w:val="0"/>
        <w:spacing w:before="240" w:after="0"/>
        <w:jc w:val="both"/>
        <w:rPr>
          <w:rFonts w:ascii="ARIAL" w:hAnsi="ARIAL"/>
          <w:sz w:val="22"/>
        </w:rPr>
      </w:pPr>
      <w:r>
        <w:rPr>
          <w:rFonts w:ascii="ARIAL" w:hAnsi="ARIAL"/>
          <w:sz w:val="22"/>
        </w:rPr>
        <w:t>The Securities Transaction Policy includes a hedging policy that prohibits directors, officers and employees from hedging any position they may have in the Company’s securities.</w:t>
      </w:r>
    </w:p>
    <w:p>
      <w:pPr>
        <w:pStyle w:val="TextBody"/>
        <w:bidi w:val="0"/>
        <w:spacing w:before="0" w:after="0"/>
        <w:jc w:val="left"/>
        <w:rPr/>
      </w:pPr>
      <w:r>
        <w:rPr/>
        <w:t> </w:t>
      </w:r>
    </w:p>
    <w:p>
      <w:pPr>
        <w:pStyle w:val="TextBody"/>
        <w:bidi w:val="0"/>
        <w:jc w:val="center"/>
        <w:rPr>
          <w:rFonts w:ascii="ARIAL" w:hAnsi="ARIAL"/>
          <w:sz w:val="24"/>
        </w:rPr>
      </w:pPr>
      <w:r>
        <w:rPr>
          <w:rFonts w:ascii="ARIAL" w:hAnsi="ARIAL"/>
          <w:sz w:val="24"/>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48EC3"/>
          <w:sz w:val="22"/>
        </w:rPr>
      </w:pPr>
      <w:r>
        <w:rPr>
          <w:rFonts w:ascii="ARIAL" w:hAnsi="ARIAL"/>
          <w:b/>
          <w:color w:val="248EC3"/>
          <w:sz w:val="22"/>
        </w:rPr>
        <w:t xml:space="preserve">DIRECTOR NOMINATION PROCESS </w:t>
      </w:r>
    </w:p>
    <w:p>
      <w:pPr>
        <w:pStyle w:val="TextBody"/>
        <w:bidi w:val="0"/>
        <w:spacing w:before="240" w:after="0"/>
        <w:jc w:val="both"/>
        <w:rPr>
          <w:rFonts w:ascii="ARIAL" w:hAnsi="ARIAL"/>
          <w:sz w:val="22"/>
        </w:rPr>
      </w:pPr>
      <w:r>
        <w:rPr>
          <w:rFonts w:ascii="ARIAL" w:hAnsi="ARIAL"/>
          <w:sz w:val="22"/>
        </w:rPr>
        <w:t xml:space="preserve">The Nominating/Governance Committee is responsible for identifying and recommending to the Board candidates for directorships. The Nominating/Governance Committee considers candidates for Board membership who are recommended by members of the Nominating/Governance Committee, other Board members, members of management and individual stockholders. From time to time, the Nominating/Governance Committee has engaged the services of global executive search firms to assist the Nominating/Governance Committee and the Board in identifying and evaluating potential director candidates. Once the Nominating/Governance Committee has identified prospective nominees for director, the Board is responsible for selecting such candidates. The Board considers candidates for director who are free of conflicts of interest or relationships that may interfere with the performance of their duties. </w:t>
      </w:r>
    </w:p>
    <w:p>
      <w:pPr>
        <w:pStyle w:val="TextBody"/>
        <w:bidi w:val="0"/>
        <w:spacing w:before="240" w:after="0"/>
        <w:jc w:val="both"/>
        <w:rPr>
          <w:rFonts w:ascii="ARIAL" w:hAnsi="ARIAL"/>
          <w:sz w:val="22"/>
        </w:rPr>
      </w:pPr>
      <w:r>
        <w:rPr>
          <w:rFonts w:ascii="ARIAL" w:hAnsi="ARIAL"/>
          <w:sz w:val="22"/>
        </w:rPr>
        <w:t xml:space="preserve">As set forth in the Corporate Governance Guidelines, the Board seeks to identify as candidates for director individuals from various backgrounds and with a variety of life experiences, a reputation for integrity and good business judgment and experience in highly responsible positions in professions or industries relevant to the conduct of the Company’s business. In selecting director candidates, the Board takes into account the current composition of the Board and the extent to which a candidate’s particular expertise and experience will complement the expertise and experience of other directors. </w:t>
      </w:r>
    </w:p>
    <w:p>
      <w:pPr>
        <w:pStyle w:val="TextBody"/>
        <w:bidi w:val="0"/>
        <w:spacing w:before="240" w:after="0"/>
        <w:jc w:val="both"/>
        <w:rPr>
          <w:rFonts w:ascii="ARIAL" w:hAnsi="ARIAL"/>
          <w:sz w:val="22"/>
        </w:rPr>
      </w:pPr>
      <w:r>
        <w:rPr>
          <w:rFonts w:ascii="ARIAL" w:hAnsi="ARIAL"/>
          <w:sz w:val="22"/>
        </w:rPr>
        <w:t xml:space="preserve">This year’s director nominees include many current or former CEOs or senior executives of large companies and feature several individuals with extensive international and consumer goods experience. The average Board tenure (as of the date of this Proxy Statement) of the eight directors seeking re-election is approximately 4.4 years. </w:t>
      </w:r>
    </w:p>
    <w:p>
      <w:pPr>
        <w:pStyle w:val="TextBody"/>
        <w:bidi w:val="0"/>
        <w:spacing w:before="240" w:after="0"/>
        <w:jc w:val="both"/>
        <w:rPr>
          <w:rFonts w:ascii="ARIAL" w:hAnsi="ARIAL"/>
          <w:sz w:val="22"/>
        </w:rPr>
      </w:pPr>
      <w:r>
        <w:rPr>
          <w:rFonts w:ascii="ARIAL" w:hAnsi="ARIAL"/>
          <w:sz w:val="22"/>
        </w:rPr>
        <w:t xml:space="preserve">The Board assesses the effectiveness of the director nomination process by conducting an annual review of its own performance, as discussed below, which evaluates, among other things, whether the Board and each of its committees are functioning effectively and in compliance with this policy. The Nominating/Governance Committee is responsible for organizing and overseeing the review process and for soliciting the input of all of the directors. </w:t>
      </w:r>
    </w:p>
    <w:p>
      <w:pPr>
        <w:pStyle w:val="TextBody"/>
        <w:bidi w:val="0"/>
        <w:spacing w:before="360" w:after="0"/>
        <w:jc w:val="left"/>
        <w:rPr>
          <w:rFonts w:ascii="ARIAL" w:hAnsi="ARIAL"/>
          <w:b/>
          <w:color w:val="248EC3"/>
          <w:sz w:val="22"/>
        </w:rPr>
      </w:pPr>
      <w:r>
        <w:rPr>
          <w:rFonts w:ascii="ARIAL" w:hAnsi="ARIAL"/>
          <w:b/>
          <w:color w:val="248EC3"/>
          <w:sz w:val="22"/>
        </w:rPr>
        <w:t xml:space="preserve">BOARD EVALUATIONS </w:t>
      </w:r>
    </w:p>
    <w:p>
      <w:pPr>
        <w:pStyle w:val="TextBody"/>
        <w:bidi w:val="0"/>
        <w:spacing w:before="240" w:after="0"/>
        <w:jc w:val="both"/>
        <w:rPr>
          <w:rFonts w:ascii="ARIAL" w:hAnsi="ARIAL"/>
          <w:sz w:val="22"/>
        </w:rPr>
      </w:pPr>
      <w:r>
        <w:rPr>
          <w:rFonts w:ascii="ARIAL" w:hAnsi="ARIAL"/>
          <w:sz w:val="22"/>
        </w:rPr>
        <w:t xml:space="preserve">In order to increase the effectiveness of the Board, the Nominating/Governance Committee supervises a review and evaluation of the performance of the Board of Directors, its committees and each individual director each year. The evaluation includes both an interview of each director and a questionnaire with a wide range of questions related to topics including oversight, strategy, governance, management capabilities, composition of the Board, responsibilities and resources. In late 2025 and early 2026, the Nominating/Governance Committee and Chairperson of the Board led a robust process, including the engagement of an independent third-party firm to conduct evaluations, interview each director, collect feedback, review it with the Board and facilitate follow ups. In addition, each of the Audit, Nominating/Governance and Compensation and Human Capital Committees conducted an annual self-evaluation. The Board’s committees were evaluated by each committee member based on a questionnaire that is updated periodically.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48EC3"/>
          <w:sz w:val="22"/>
        </w:rPr>
      </w:pPr>
      <w:r>
        <w:rPr>
          <w:rFonts w:ascii="ARIAL" w:hAnsi="ARIAL"/>
          <w:b/>
          <w:color w:val="248EC3"/>
          <w:sz w:val="22"/>
        </w:rPr>
        <w:t xml:space="preserve">BOARD SKILLS AND ATTRIBUTES </w:t>
      </w:r>
    </w:p>
    <w:p>
      <w:pPr>
        <w:pStyle w:val="TextBody"/>
        <w:bidi w:val="0"/>
        <w:spacing w:before="240" w:after="0"/>
        <w:jc w:val="both"/>
        <w:rPr>
          <w:rFonts w:ascii="ARIAL" w:hAnsi="ARIAL"/>
          <w:sz w:val="22"/>
        </w:rPr>
      </w:pPr>
      <w:r>
        <w:rPr>
          <w:rFonts w:ascii="ARIAL" w:hAnsi="ARIAL"/>
          <w:sz w:val="22"/>
        </w:rPr>
        <w:t xml:space="preserve">In 2025, the Nominating/Governance Committee reviewed and evaluated the key experience, qualifications and attributes for Board members and facilitated a self-evaluation of each director’s skills in these categories.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76"/>
        <w:gridCol w:w="60"/>
        <w:gridCol w:w="60"/>
        <w:gridCol w:w="385"/>
        <w:gridCol w:w="60"/>
        <w:gridCol w:w="60"/>
        <w:gridCol w:w="353"/>
        <w:gridCol w:w="60"/>
        <w:gridCol w:w="353"/>
        <w:gridCol w:w="60"/>
        <w:gridCol w:w="353"/>
        <w:gridCol w:w="60"/>
        <w:gridCol w:w="353"/>
        <w:gridCol w:w="60"/>
        <w:gridCol w:w="353"/>
        <w:gridCol w:w="60"/>
        <w:gridCol w:w="353"/>
        <w:gridCol w:w="60"/>
        <w:gridCol w:w="353"/>
        <w:gridCol w:w="60"/>
        <w:gridCol w:w="353"/>
        <w:gridCol w:w="60"/>
        <w:gridCol w:w="353"/>
        <w:gridCol w:w="60"/>
        <w:gridCol w:w="487"/>
      </w:tblGrid>
      <w:tr>
        <w:trPr/>
        <w:tc>
          <w:tcPr>
            <w:tcW w:w="5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5376" w:type="dxa"/>
            <w:tcBorders>
              <w:bottom w:val="single" w:sz="6" w:space="0" w:color="E5E5E5"/>
            </w:tcBorders>
            <w:tcMar>
              <w:bottom w:w="60" w:type="dxa"/>
            </w:tcMar>
            <w:vAlign w:val="center"/>
          </w:tcPr>
          <w:p>
            <w:pPr>
              <w:pStyle w:val="TableContents"/>
              <w:bidi w:val="0"/>
              <w:spacing w:before="0" w:after="0"/>
              <w:jc w:val="left"/>
              <w:rPr>
                <w:rFonts w:ascii="ARIAL" w:hAnsi="ARIAL"/>
                <w:b/>
                <w:color w:val="248EC3"/>
                <w:sz w:val="24"/>
              </w:rPr>
            </w:pPr>
            <w:r>
              <w:rPr>
                <w:rFonts w:ascii="ARIAL" w:hAnsi="ARIAL"/>
                <w:b/>
                <w:color w:val="248EC3"/>
                <w:sz w:val="24"/>
              </w:rPr>
              <w:t>Experience</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445" w:type="dxa"/>
            <w:gridSpan w:val="2"/>
            <w:tcBorders>
              <w:top w:val="single" w:sz="6" w:space="0" w:color="E5E5E5"/>
              <w:bottom w:val="single" w:sz="6" w:space="0" w:color="E5E5E5"/>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E5E5E5"/>
            </w:tcBorders>
            <w:shd w:fill="CCCCCC" w:val="clear"/>
            <w:tcMar>
              <w:top w:w="28" w:type="dxa"/>
              <w:bottom w:w="60" w:type="dxa"/>
            </w:tcMar>
            <w:vAlign w:val="center"/>
          </w:tcPr>
          <w:p>
            <w:pPr>
              <w:pStyle w:val="TableContents"/>
              <w:bidi w:val="0"/>
              <w:spacing w:before="0" w:after="283"/>
              <w:jc w:val="center"/>
              <w:rPr/>
            </w:pPr>
            <w:r>
              <w:rPr/>
              <w:drawing>
                <wp:inline distT="0" distB="0" distL="0" distR="0">
                  <wp:extent cx="219075" cy="10191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19075" cy="1019175"/>
                          </a:xfrm>
                          <a:prstGeom prst="rect">
                            <a:avLst/>
                          </a:prstGeom>
                        </pic:spPr>
                      </pic:pic>
                    </a:graphicData>
                  </a:graphic>
                </wp:inline>
              </w:drawing>
            </w:r>
            <w:r>
              <w:rPr/>
              <w:t xml:space="preserve"> </w:t>
            </w:r>
          </w:p>
        </w:tc>
        <w:tc>
          <w:tcPr>
            <w:tcW w:w="60" w:type="dxa"/>
            <w:tcBorders>
              <w:top w:val="single" w:sz="6" w:space="0" w:color="E5E5E5"/>
              <w:left w:val="single" w:sz="6" w:space="0" w:color="FFFFFF"/>
              <w:bottom w:val="single" w:sz="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E5E5E5"/>
            </w:tcBorders>
            <w:shd w:fill="CCCCCC" w:val="clear"/>
            <w:tcMar>
              <w:top w:w="28" w:type="dxa"/>
              <w:bottom w:w="60" w:type="dxa"/>
            </w:tcMar>
            <w:vAlign w:val="center"/>
          </w:tcPr>
          <w:p>
            <w:pPr>
              <w:pStyle w:val="TableContents"/>
              <w:bidi w:val="0"/>
              <w:spacing w:before="0" w:after="283"/>
              <w:jc w:val="center"/>
              <w:rPr/>
            </w:pPr>
            <w:r>
              <w:rPr/>
              <w:drawing>
                <wp:inline distT="0" distB="0" distL="0" distR="0">
                  <wp:extent cx="219075" cy="10191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19075" cy="1019175"/>
                          </a:xfrm>
                          <a:prstGeom prst="rect">
                            <a:avLst/>
                          </a:prstGeom>
                        </pic:spPr>
                      </pic:pic>
                    </a:graphicData>
                  </a:graphic>
                </wp:inline>
              </w:drawing>
            </w:r>
            <w:r>
              <w:rPr/>
              <w:t xml:space="preserve"> </w:t>
            </w:r>
          </w:p>
        </w:tc>
        <w:tc>
          <w:tcPr>
            <w:tcW w:w="60" w:type="dxa"/>
            <w:tcBorders>
              <w:top w:val="single" w:sz="6" w:space="0" w:color="E5E5E5"/>
              <w:left w:val="single" w:sz="6" w:space="0" w:color="FFFFFF"/>
              <w:bottom w:val="single" w:sz="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E5E5E5"/>
            </w:tcBorders>
            <w:shd w:fill="CCCCCC" w:val="clear"/>
            <w:tcMar>
              <w:top w:w="28" w:type="dxa"/>
              <w:bottom w:w="60" w:type="dxa"/>
            </w:tcMar>
            <w:vAlign w:val="center"/>
          </w:tcPr>
          <w:p>
            <w:pPr>
              <w:pStyle w:val="TableContents"/>
              <w:bidi w:val="0"/>
              <w:spacing w:before="0" w:after="283"/>
              <w:jc w:val="center"/>
              <w:rPr/>
            </w:pPr>
            <w:r>
              <w:rPr/>
              <w:drawing>
                <wp:inline distT="0" distB="0" distL="0" distR="0">
                  <wp:extent cx="219075" cy="10191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19075" cy="1019175"/>
                          </a:xfrm>
                          <a:prstGeom prst="rect">
                            <a:avLst/>
                          </a:prstGeom>
                        </pic:spPr>
                      </pic:pic>
                    </a:graphicData>
                  </a:graphic>
                </wp:inline>
              </w:drawing>
            </w:r>
            <w:r>
              <w:rPr/>
              <w:t xml:space="preserve"> </w:t>
            </w:r>
          </w:p>
        </w:tc>
        <w:tc>
          <w:tcPr>
            <w:tcW w:w="60" w:type="dxa"/>
            <w:tcBorders>
              <w:top w:val="single" w:sz="6" w:space="0" w:color="E5E5E5"/>
              <w:left w:val="single" w:sz="6" w:space="0" w:color="FFFFFF"/>
              <w:bottom w:val="single" w:sz="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E5E5E5"/>
            </w:tcBorders>
            <w:shd w:fill="CCCCCC" w:val="clear"/>
            <w:tcMar>
              <w:top w:w="28" w:type="dxa"/>
              <w:bottom w:w="60" w:type="dxa"/>
            </w:tcMar>
            <w:vAlign w:val="center"/>
          </w:tcPr>
          <w:p>
            <w:pPr>
              <w:pStyle w:val="TableContents"/>
              <w:bidi w:val="0"/>
              <w:spacing w:before="0" w:after="283"/>
              <w:jc w:val="center"/>
              <w:rPr/>
            </w:pPr>
            <w:r>
              <w:rPr/>
              <w:drawing>
                <wp:inline distT="0" distB="0" distL="0" distR="0">
                  <wp:extent cx="219075" cy="1009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19075" cy="1009650"/>
                          </a:xfrm>
                          <a:prstGeom prst="rect">
                            <a:avLst/>
                          </a:prstGeom>
                        </pic:spPr>
                      </pic:pic>
                    </a:graphicData>
                  </a:graphic>
                </wp:inline>
              </w:drawing>
            </w:r>
            <w:r>
              <w:rPr/>
              <w:t xml:space="preserve"> </w:t>
            </w:r>
          </w:p>
        </w:tc>
        <w:tc>
          <w:tcPr>
            <w:tcW w:w="60" w:type="dxa"/>
            <w:tcBorders>
              <w:top w:val="single" w:sz="6" w:space="0" w:color="E5E5E5"/>
              <w:left w:val="single" w:sz="6" w:space="0" w:color="FFFFFF"/>
              <w:bottom w:val="single" w:sz="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E5E5E5"/>
            </w:tcBorders>
            <w:shd w:fill="CCCCCC" w:val="clear"/>
            <w:tcMar>
              <w:top w:w="28" w:type="dxa"/>
              <w:bottom w:w="60" w:type="dxa"/>
            </w:tcMar>
            <w:vAlign w:val="center"/>
          </w:tcPr>
          <w:p>
            <w:pPr>
              <w:pStyle w:val="TableContents"/>
              <w:bidi w:val="0"/>
              <w:spacing w:before="0" w:after="283"/>
              <w:jc w:val="center"/>
              <w:rPr/>
            </w:pPr>
            <w:r>
              <w:rPr/>
              <w:drawing>
                <wp:inline distT="0" distB="0" distL="0" distR="0">
                  <wp:extent cx="219075" cy="10763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19075" cy="1076325"/>
                          </a:xfrm>
                          <a:prstGeom prst="rect">
                            <a:avLst/>
                          </a:prstGeom>
                        </pic:spPr>
                      </pic:pic>
                    </a:graphicData>
                  </a:graphic>
                </wp:inline>
              </w:drawing>
            </w:r>
            <w:r>
              <w:rPr/>
              <w:t xml:space="preserve"> </w:t>
            </w:r>
          </w:p>
        </w:tc>
        <w:tc>
          <w:tcPr>
            <w:tcW w:w="60" w:type="dxa"/>
            <w:tcBorders>
              <w:top w:val="single" w:sz="6" w:space="0" w:color="E5E5E5"/>
              <w:left w:val="single" w:sz="6" w:space="0" w:color="FFFFFF"/>
              <w:bottom w:val="single" w:sz="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E5E5E5"/>
            </w:tcBorders>
            <w:shd w:fill="CCCCCC" w:val="clear"/>
            <w:tcMar>
              <w:top w:w="28" w:type="dxa"/>
              <w:bottom w:w="60" w:type="dxa"/>
            </w:tcMar>
            <w:vAlign w:val="center"/>
          </w:tcPr>
          <w:p>
            <w:pPr>
              <w:pStyle w:val="TableContents"/>
              <w:bidi w:val="0"/>
              <w:spacing w:before="0" w:after="283"/>
              <w:jc w:val="center"/>
              <w:rPr/>
            </w:pPr>
            <w:r>
              <w:rPr/>
              <w:drawing>
                <wp:inline distT="0" distB="0" distL="0" distR="0">
                  <wp:extent cx="219075" cy="10763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19075" cy="1076325"/>
                          </a:xfrm>
                          <a:prstGeom prst="rect">
                            <a:avLst/>
                          </a:prstGeom>
                        </pic:spPr>
                      </pic:pic>
                    </a:graphicData>
                  </a:graphic>
                </wp:inline>
              </w:drawing>
            </w:r>
            <w:r>
              <w:rPr/>
              <w:t xml:space="preserve"> </w:t>
            </w:r>
          </w:p>
        </w:tc>
        <w:tc>
          <w:tcPr>
            <w:tcW w:w="60" w:type="dxa"/>
            <w:tcBorders>
              <w:top w:val="single" w:sz="6" w:space="0" w:color="E5E5E5"/>
              <w:left w:val="single" w:sz="6" w:space="0" w:color="FFFFFF"/>
              <w:bottom w:val="single" w:sz="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E5E5E5"/>
            </w:tcBorders>
            <w:shd w:fill="CCCCCC" w:val="clear"/>
            <w:tcMar>
              <w:top w:w="28" w:type="dxa"/>
              <w:bottom w:w="60" w:type="dxa"/>
            </w:tcMar>
            <w:vAlign w:val="center"/>
          </w:tcPr>
          <w:p>
            <w:pPr>
              <w:pStyle w:val="TableContents"/>
              <w:bidi w:val="0"/>
              <w:spacing w:before="0" w:after="283"/>
              <w:jc w:val="center"/>
              <w:rPr/>
            </w:pPr>
            <w:r>
              <w:rPr/>
              <w:drawing>
                <wp:inline distT="0" distB="0" distL="0" distR="0">
                  <wp:extent cx="219075" cy="10191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19075" cy="1019175"/>
                          </a:xfrm>
                          <a:prstGeom prst="rect">
                            <a:avLst/>
                          </a:prstGeom>
                        </pic:spPr>
                      </pic:pic>
                    </a:graphicData>
                  </a:graphic>
                </wp:inline>
              </w:drawing>
            </w:r>
            <w:r>
              <w:rPr/>
              <w:t xml:space="preserve"> </w:t>
            </w:r>
          </w:p>
        </w:tc>
        <w:tc>
          <w:tcPr>
            <w:tcW w:w="60" w:type="dxa"/>
            <w:tcBorders>
              <w:top w:val="single" w:sz="6" w:space="0" w:color="E5E5E5"/>
              <w:left w:val="single" w:sz="6" w:space="0" w:color="FFFFFF"/>
              <w:bottom w:val="single" w:sz="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E5E5E5"/>
            </w:tcBorders>
            <w:shd w:fill="CCCCCC" w:val="clear"/>
            <w:tcMar>
              <w:top w:w="28" w:type="dxa"/>
              <w:bottom w:w="60" w:type="dxa"/>
            </w:tcMar>
            <w:vAlign w:val="center"/>
          </w:tcPr>
          <w:p>
            <w:pPr>
              <w:pStyle w:val="TableContents"/>
              <w:bidi w:val="0"/>
              <w:spacing w:before="0" w:after="283"/>
              <w:jc w:val="center"/>
              <w:rPr/>
            </w:pPr>
            <w:r>
              <w:rPr/>
              <w:drawing>
                <wp:inline distT="0" distB="0" distL="0" distR="0">
                  <wp:extent cx="219075" cy="10191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19075" cy="1019175"/>
                          </a:xfrm>
                          <a:prstGeom prst="rect">
                            <a:avLst/>
                          </a:prstGeom>
                        </pic:spPr>
                      </pic:pic>
                    </a:graphicData>
                  </a:graphic>
                </wp:inline>
              </w:drawing>
            </w:r>
            <w:r>
              <w:rPr/>
              <w:t xml:space="preserve"> </w:t>
            </w:r>
          </w:p>
        </w:tc>
        <w:tc>
          <w:tcPr>
            <w:tcW w:w="60" w:type="dxa"/>
            <w:tcBorders>
              <w:top w:val="single" w:sz="6" w:space="0" w:color="E5E5E5"/>
              <w:left w:val="single" w:sz="6" w:space="0" w:color="FFFFFF"/>
              <w:bottom w:val="single" w:sz="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E5E5E5"/>
            </w:tcBorders>
            <w:shd w:fill="CCCCCC" w:val="clear"/>
            <w:tcMar>
              <w:top w:w="28" w:type="dxa"/>
              <w:bottom w:w="60" w:type="dxa"/>
            </w:tcMar>
            <w:vAlign w:val="center"/>
          </w:tcPr>
          <w:p>
            <w:pPr>
              <w:pStyle w:val="TableContents"/>
              <w:bidi w:val="0"/>
              <w:spacing w:before="0" w:after="283"/>
              <w:jc w:val="center"/>
              <w:rPr/>
            </w:pPr>
            <w:r>
              <w:rPr/>
              <w:drawing>
                <wp:inline distT="0" distB="0" distL="0" distR="0">
                  <wp:extent cx="219075" cy="10191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19075" cy="1019175"/>
                          </a:xfrm>
                          <a:prstGeom prst="rect">
                            <a:avLst/>
                          </a:prstGeom>
                        </pic:spPr>
                      </pic:pic>
                    </a:graphicData>
                  </a:graphic>
                </wp:inline>
              </w:drawing>
            </w:r>
            <w:r>
              <w:rPr/>
              <w:t xml:space="preserve"> </w:t>
            </w:r>
          </w:p>
        </w:tc>
        <w:tc>
          <w:tcPr>
            <w:tcW w:w="60" w:type="dxa"/>
            <w:tcBorders>
              <w:top w:val="single" w:sz="6" w:space="0" w:color="E5E5E5"/>
              <w:left w:val="single" w:sz="6" w:space="0" w:color="FFFFFF"/>
              <w:bottom w:val="single" w:sz="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E5E5E5"/>
              <w:right w:val="single" w:sz="6" w:space="0" w:color="E5E5E5"/>
            </w:tcBorders>
            <w:shd w:fill="CCCCCC" w:val="clear"/>
            <w:tcMar>
              <w:top w:w="28" w:type="dxa"/>
              <w:bottom w:w="60" w:type="dxa"/>
              <w:right w:w="40" w:type="dxa"/>
            </w:tcMar>
            <w:vAlign w:val="center"/>
          </w:tcPr>
          <w:p>
            <w:pPr>
              <w:pStyle w:val="TableContents"/>
              <w:bidi w:val="0"/>
              <w:spacing w:before="0" w:after="283"/>
              <w:jc w:val="center"/>
              <w:rPr/>
            </w:pPr>
            <w:r>
              <w:rPr/>
              <w:drawing>
                <wp:inline distT="0" distB="0" distL="0" distR="0">
                  <wp:extent cx="219075" cy="10191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19075" cy="1019175"/>
                          </a:xfrm>
                          <a:prstGeom prst="rect">
                            <a:avLst/>
                          </a:prstGeom>
                        </pic:spPr>
                      </pic:pic>
                    </a:graphicData>
                  </a:graphic>
                </wp:inline>
              </w:drawing>
            </w:r>
            <w:r>
              <w:rPr/>
              <w:t xml:space="preserve"> </w:t>
            </w:r>
          </w:p>
        </w:tc>
      </w:tr>
      <w:tr>
        <w:trPr/>
        <w:tc>
          <w:tcPr>
            <w:tcW w:w="5376" w:type="dxa"/>
            <w:tcBorders>
              <w:top w:val="single" w:sz="6" w:space="0" w:color="E5E5E5"/>
              <w:bottom w:val="single" w:sz="6" w:space="0" w:color="E5E5E5"/>
            </w:tcBorders>
            <w:tcMar>
              <w:top w:w="28" w:type="dxa"/>
              <w:bottom w:w="60" w:type="dxa"/>
            </w:tcMar>
            <w:vAlign w:val="center"/>
          </w:tcPr>
          <w:p>
            <w:pPr>
              <w:pStyle w:val="TableContents"/>
              <w:bidi w:val="0"/>
              <w:spacing w:lineRule="atLeast" w:line="180" w:before="0" w:after="0"/>
              <w:jc w:val="left"/>
              <w:rPr>
                <w:rFonts w:ascii="ARIAL" w:hAnsi="ARIAL"/>
                <w:sz w:val="14"/>
              </w:rPr>
            </w:pPr>
            <w:r>
              <w:rPr>
                <w:rFonts w:ascii="ARIAL" w:hAnsi="ARIAL"/>
                <w:b/>
                <w:sz w:val="14"/>
              </w:rPr>
              <w:t>Senior Executive Leadership:</w:t>
            </w:r>
            <w:r>
              <w:rPr>
                <w:rFonts w:ascii="ARIAL" w:hAnsi="ARIAL"/>
                <w:sz w:val="14"/>
              </w:rPr>
              <w:t xml:space="preserve"> Experience serving in a Senior Leadership Position in a major organization (e.g., CEO, CMO, COO, Chief Financial Officer, Division President, etc.), with a practical understanding and oversight of organizations, processes and strategic planning</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385"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right"/>
              <w:rPr/>
            </w:pPr>
            <w:r>
              <w:rPr/>
              <w:drawing>
                <wp:inline distT="0" distB="0" distL="0" distR="0">
                  <wp:extent cx="213360" cy="1670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13360" cy="167005"/>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60" w:type="dxa"/>
              <w:right w:w="28" w:type="dxa"/>
            </w:tcMar>
            <w:vAlign w:val="center"/>
          </w:tcPr>
          <w:p>
            <w:pPr>
              <w:pStyle w:val="TableContents"/>
              <w:bidi w:val="0"/>
              <w:spacing w:before="0" w:after="283"/>
              <w:jc w:val="center"/>
              <w:rPr>
                <w:color w:val="248EC3"/>
                <w:sz w:val="12"/>
              </w:rPr>
            </w:pPr>
            <w:r>
              <w:rPr>
                <w:color w:val="248EC3"/>
                <w:sz w:val="12"/>
              </w:rPr>
              <w:t xml:space="preserve">100% </w:t>
            </w:r>
          </w:p>
        </w:tc>
      </w:tr>
      <w:tr>
        <w:trPr/>
        <w:tc>
          <w:tcPr>
            <w:tcW w:w="5376" w:type="dxa"/>
            <w:tcBorders>
              <w:top w:val="single" w:sz="6" w:space="0" w:color="E5E5E5"/>
              <w:bottom w:val="single" w:sz="6" w:space="0" w:color="E5E5E5"/>
            </w:tcBorders>
            <w:tcMar>
              <w:top w:w="28" w:type="dxa"/>
              <w:bottom w:w="28" w:type="dxa"/>
            </w:tcMar>
            <w:vAlign w:val="center"/>
          </w:tcPr>
          <w:p>
            <w:pPr>
              <w:pStyle w:val="TableContents"/>
              <w:bidi w:val="0"/>
              <w:spacing w:lineRule="atLeast" w:line="180" w:before="0" w:after="0"/>
              <w:jc w:val="left"/>
              <w:rPr>
                <w:rFonts w:ascii="ARIAL" w:hAnsi="ARIAL"/>
                <w:sz w:val="14"/>
              </w:rPr>
            </w:pPr>
            <w:r>
              <w:rPr>
                <w:rFonts w:ascii="ARIAL" w:hAnsi="ARIAL"/>
                <w:b/>
                <w:sz w:val="14"/>
              </w:rPr>
              <w:t>Public Company CEO</w:t>
            </w:r>
            <w:r>
              <w:rPr>
                <w:rFonts w:ascii="ARIAL" w:hAnsi="ARIAL"/>
                <w:sz w:val="14"/>
              </w:rPr>
              <w:t>: Experience serving as the Chief Executive Officer of a public company.</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85" w:type="dxa"/>
            <w:tcBorders>
              <w:top w:val="single" w:sz="6" w:space="0" w:color="E5E5E5"/>
              <w:bottom w:val="single" w:sz="6" w:space="0" w:color="E5E5E5"/>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213360" cy="19113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13360" cy="191135"/>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28" w:type="dxa"/>
              <w:right w:w="28" w:type="dxa"/>
            </w:tcMar>
            <w:vAlign w:val="center"/>
          </w:tcPr>
          <w:p>
            <w:pPr>
              <w:pStyle w:val="TableContents"/>
              <w:bidi w:val="0"/>
              <w:spacing w:before="0" w:after="283"/>
              <w:jc w:val="center"/>
              <w:rPr>
                <w:color w:val="248EC3"/>
                <w:sz w:val="12"/>
              </w:rPr>
            </w:pPr>
            <w:r>
              <w:rPr>
                <w:color w:val="248EC3"/>
                <w:sz w:val="12"/>
              </w:rPr>
              <w:t>44%</w:t>
            </w:r>
          </w:p>
        </w:tc>
      </w:tr>
      <w:tr>
        <w:trPr/>
        <w:tc>
          <w:tcPr>
            <w:tcW w:w="5376" w:type="dxa"/>
            <w:tcBorders>
              <w:top w:val="single" w:sz="6" w:space="0" w:color="E5E5E5"/>
              <w:bottom w:val="single" w:sz="6" w:space="0" w:color="E5E5E5"/>
            </w:tcBorders>
            <w:tcMar>
              <w:top w:w="28" w:type="dxa"/>
              <w:bottom w:w="60" w:type="dxa"/>
            </w:tcMar>
            <w:vAlign w:val="center"/>
          </w:tcPr>
          <w:p>
            <w:pPr>
              <w:pStyle w:val="TableContents"/>
              <w:bidi w:val="0"/>
              <w:spacing w:lineRule="atLeast" w:line="180" w:before="0" w:after="0"/>
              <w:jc w:val="left"/>
              <w:rPr>
                <w:rFonts w:ascii="ARIAL" w:hAnsi="ARIAL"/>
                <w:sz w:val="14"/>
              </w:rPr>
            </w:pPr>
            <w:r>
              <w:rPr>
                <w:rFonts w:ascii="ARIAL" w:hAnsi="ARIAL"/>
                <w:b/>
                <w:sz w:val="14"/>
              </w:rPr>
              <w:t>Global Business Experience:</w:t>
            </w:r>
            <w:r>
              <w:rPr>
                <w:rFonts w:ascii="ARIAL" w:hAnsi="ARIAL"/>
                <w:sz w:val="14"/>
              </w:rPr>
              <w:t xml:space="preserve"> Experience driving business success in markets around the world, with an understanding of diverse business environments, economic conditions, cultures, and regulatory frameworks, and a broad perspective on global market opportunities.</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385"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right"/>
              <w:rPr/>
            </w:pPr>
            <w:r>
              <w:rPr/>
              <w:drawing>
                <wp:inline distT="0" distB="0" distL="0" distR="0">
                  <wp:extent cx="213360" cy="21336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13360" cy="213360"/>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60" w:type="dxa"/>
              <w:right w:w="28" w:type="dxa"/>
            </w:tcMar>
            <w:vAlign w:val="center"/>
          </w:tcPr>
          <w:p>
            <w:pPr>
              <w:pStyle w:val="TableContents"/>
              <w:bidi w:val="0"/>
              <w:spacing w:before="0" w:after="283"/>
              <w:jc w:val="center"/>
              <w:rPr>
                <w:color w:val="248EC3"/>
                <w:sz w:val="12"/>
              </w:rPr>
            </w:pPr>
            <w:r>
              <w:rPr>
                <w:color w:val="248EC3"/>
                <w:sz w:val="12"/>
              </w:rPr>
              <w:t>100%</w:t>
            </w:r>
          </w:p>
        </w:tc>
      </w:tr>
      <w:tr>
        <w:trPr/>
        <w:tc>
          <w:tcPr>
            <w:tcW w:w="5376" w:type="dxa"/>
            <w:tcBorders>
              <w:top w:val="single" w:sz="6" w:space="0" w:color="E5E5E5"/>
              <w:bottom w:val="single" w:sz="6" w:space="0" w:color="E5E5E5"/>
            </w:tcBorders>
            <w:tcMar>
              <w:top w:w="28" w:type="dxa"/>
              <w:bottom w:w="60" w:type="dxa"/>
            </w:tcMar>
            <w:vAlign w:val="center"/>
          </w:tcPr>
          <w:p>
            <w:pPr>
              <w:pStyle w:val="TableContents"/>
              <w:bidi w:val="0"/>
              <w:spacing w:lineRule="atLeast" w:line="180" w:before="0" w:after="0"/>
              <w:jc w:val="left"/>
              <w:rPr>
                <w:rFonts w:ascii="ARIAL" w:hAnsi="ARIAL"/>
                <w:sz w:val="14"/>
              </w:rPr>
            </w:pPr>
            <w:r>
              <w:rPr>
                <w:rFonts w:ascii="ARIAL" w:hAnsi="ARIAL"/>
                <w:b/>
                <w:sz w:val="14"/>
              </w:rPr>
              <w:t>Consumer Packaged Goods / Consumer Durables Experience:</w:t>
            </w:r>
            <w:r>
              <w:rPr>
                <w:rFonts w:ascii="ARIAL" w:hAnsi="ARIAL"/>
                <w:sz w:val="14"/>
              </w:rPr>
              <w:t xml:space="preserve"> Experience in the consumer-packaged goods (CPG) or consumer durables (CD) industry, and ability to provide guidance on the Company’s strategy and position in the CPG/CD industry.</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385"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right"/>
              <w:rPr/>
            </w:pPr>
            <w:r>
              <w:rPr/>
              <w:drawing>
                <wp:inline distT="0" distB="0" distL="0" distR="0">
                  <wp:extent cx="213360" cy="21336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13360" cy="213360"/>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60" w:type="dxa"/>
              <w:right w:w="28" w:type="dxa"/>
            </w:tcMar>
            <w:vAlign w:val="center"/>
          </w:tcPr>
          <w:p>
            <w:pPr>
              <w:pStyle w:val="TableContents"/>
              <w:bidi w:val="0"/>
              <w:spacing w:before="0" w:after="283"/>
              <w:jc w:val="center"/>
              <w:rPr>
                <w:color w:val="248EC3"/>
                <w:sz w:val="12"/>
              </w:rPr>
            </w:pPr>
            <w:r>
              <w:rPr>
                <w:color w:val="248EC3"/>
                <w:sz w:val="12"/>
              </w:rPr>
              <w:t>100%</w:t>
            </w:r>
          </w:p>
        </w:tc>
      </w:tr>
      <w:tr>
        <w:trPr/>
        <w:tc>
          <w:tcPr>
            <w:tcW w:w="5376" w:type="dxa"/>
            <w:tcBorders>
              <w:top w:val="single" w:sz="6" w:space="0" w:color="E5E5E5"/>
              <w:bottom w:val="single" w:sz="6" w:space="0" w:color="E5E5E5"/>
            </w:tcBorders>
            <w:tcMar>
              <w:top w:w="28" w:type="dxa"/>
              <w:bottom w:w="60" w:type="dxa"/>
            </w:tcMar>
            <w:vAlign w:val="center"/>
          </w:tcPr>
          <w:p>
            <w:pPr>
              <w:pStyle w:val="TableContents"/>
              <w:bidi w:val="0"/>
              <w:spacing w:lineRule="atLeast" w:line="180" w:before="0" w:after="0"/>
              <w:jc w:val="left"/>
              <w:rPr>
                <w:rFonts w:ascii="ARIAL" w:hAnsi="ARIAL"/>
                <w:sz w:val="14"/>
              </w:rPr>
            </w:pPr>
            <w:r>
              <w:rPr>
                <w:rFonts w:ascii="ARIAL" w:hAnsi="ARIAL"/>
                <w:b/>
                <w:sz w:val="14"/>
              </w:rPr>
              <w:t>Mergers &amp; Acquisitions / Corporate Development / Finance:</w:t>
            </w:r>
            <w:r>
              <w:rPr>
                <w:rFonts w:ascii="ARIAL" w:hAnsi="ARIAL"/>
                <w:sz w:val="14"/>
              </w:rPr>
              <w:t xml:space="preserve"> Experience leading growth through acquisitions and other business combinations, with the ability to assess “build or buy” decisions, analyze the fit of a target with a company’s strategy and culture, value transactions, evaluate investment thesis, and evaluate operational integration plans. Experience with financing and accounting.</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385"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right"/>
              <w:rPr/>
            </w:pPr>
            <w:r>
              <w:rPr/>
              <w:drawing>
                <wp:inline distT="0" distB="0" distL="0" distR="0">
                  <wp:extent cx="213360" cy="21336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13360" cy="213360"/>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60" w:type="dxa"/>
              <w:right w:w="28" w:type="dxa"/>
            </w:tcMar>
            <w:vAlign w:val="center"/>
          </w:tcPr>
          <w:p>
            <w:pPr>
              <w:pStyle w:val="TableContents"/>
              <w:bidi w:val="0"/>
              <w:spacing w:before="0" w:after="283"/>
              <w:jc w:val="center"/>
              <w:rPr>
                <w:color w:val="248EC3"/>
                <w:sz w:val="12"/>
              </w:rPr>
            </w:pPr>
            <w:r>
              <w:rPr>
                <w:color w:val="248EC3"/>
                <w:sz w:val="12"/>
              </w:rPr>
              <w:t>100%</w:t>
            </w:r>
          </w:p>
        </w:tc>
      </w:tr>
      <w:tr>
        <w:trPr/>
        <w:tc>
          <w:tcPr>
            <w:tcW w:w="5376" w:type="dxa"/>
            <w:tcBorders>
              <w:top w:val="single" w:sz="6" w:space="0" w:color="E5E5E5"/>
              <w:bottom w:val="single" w:sz="6" w:space="0" w:color="E5E5E5"/>
            </w:tcBorders>
            <w:tcMar>
              <w:top w:w="28" w:type="dxa"/>
              <w:bottom w:w="60" w:type="dxa"/>
            </w:tcMar>
            <w:vAlign w:val="center"/>
          </w:tcPr>
          <w:p>
            <w:pPr>
              <w:pStyle w:val="TableContents"/>
              <w:bidi w:val="0"/>
              <w:spacing w:lineRule="atLeast" w:line="180" w:before="0" w:after="0"/>
              <w:jc w:val="left"/>
              <w:rPr>
                <w:rFonts w:ascii="ARIAL" w:hAnsi="ARIAL"/>
                <w:sz w:val="14"/>
              </w:rPr>
            </w:pPr>
            <w:r>
              <w:rPr>
                <w:rFonts w:ascii="ARIAL" w:hAnsi="ARIAL"/>
                <w:b/>
                <w:sz w:val="14"/>
              </w:rPr>
              <w:t>Risk Management / Regulatory:</w:t>
            </w:r>
            <w:r>
              <w:rPr>
                <w:rFonts w:ascii="ARIAL" w:hAnsi="ARIAL"/>
                <w:sz w:val="14"/>
              </w:rPr>
              <w:t xml:space="preserve"> Familiarity with enterprise risk management and experience overseeing risk management, regulatory matters and operational risks.</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385"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right"/>
              <w:rPr/>
            </w:pPr>
            <w:r>
              <w:rPr/>
              <w:drawing>
                <wp:inline distT="0" distB="0" distL="0" distR="0">
                  <wp:extent cx="213360" cy="190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13360" cy="190500"/>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60" w:type="dxa"/>
              <w:right w:w="28" w:type="dxa"/>
            </w:tcMar>
            <w:vAlign w:val="center"/>
          </w:tcPr>
          <w:p>
            <w:pPr>
              <w:pStyle w:val="TableContents"/>
              <w:bidi w:val="0"/>
              <w:spacing w:before="0" w:after="283"/>
              <w:jc w:val="center"/>
              <w:rPr>
                <w:color w:val="248EC3"/>
                <w:sz w:val="12"/>
              </w:rPr>
            </w:pPr>
            <w:r>
              <w:rPr>
                <w:color w:val="248EC3"/>
                <w:sz w:val="12"/>
              </w:rPr>
              <w:t>89%</w:t>
            </w:r>
          </w:p>
        </w:tc>
      </w:tr>
      <w:tr>
        <w:trPr/>
        <w:tc>
          <w:tcPr>
            <w:tcW w:w="5376" w:type="dxa"/>
            <w:tcBorders>
              <w:top w:val="single" w:sz="6" w:space="0" w:color="E5E5E5"/>
              <w:bottom w:val="single" w:sz="6" w:space="0" w:color="E5E5E5"/>
            </w:tcBorders>
            <w:tcMar>
              <w:top w:w="28" w:type="dxa"/>
              <w:bottom w:w="60" w:type="dxa"/>
            </w:tcMar>
            <w:vAlign w:val="center"/>
          </w:tcPr>
          <w:p>
            <w:pPr>
              <w:pStyle w:val="TableContents"/>
              <w:bidi w:val="0"/>
              <w:spacing w:lineRule="atLeast" w:line="180" w:before="0" w:after="0"/>
              <w:jc w:val="left"/>
              <w:rPr>
                <w:rFonts w:ascii="ARIAL" w:hAnsi="ARIAL"/>
                <w:sz w:val="14"/>
              </w:rPr>
            </w:pPr>
            <w:r>
              <w:rPr>
                <w:rFonts w:ascii="ARIAL" w:hAnsi="ARIAL"/>
                <w:b/>
                <w:sz w:val="14"/>
              </w:rPr>
              <w:t>Technology Systems / Cyber Security:</w:t>
            </w:r>
            <w:r>
              <w:rPr>
                <w:rFonts w:ascii="ARIAL" w:hAnsi="ARIAL"/>
                <w:sz w:val="14"/>
              </w:rPr>
              <w:t xml:space="preserve"> Experience understanding technology systems and issues across an enterprise, the cybersecurity threat landscape, responsibilities in managing/mitigating cyber-risk and how to evaluate the organization’s preparedness to lead through a cyber crisis.</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385"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right"/>
              <w:rPr/>
            </w:pPr>
            <w:r>
              <w:rPr/>
              <w:drawing>
                <wp:inline distT="0" distB="0" distL="0" distR="0">
                  <wp:extent cx="213360" cy="21336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13360" cy="213360"/>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60" w:type="dxa"/>
              <w:right w:w="28" w:type="dxa"/>
            </w:tcMar>
            <w:vAlign w:val="center"/>
          </w:tcPr>
          <w:p>
            <w:pPr>
              <w:pStyle w:val="TableContents"/>
              <w:bidi w:val="0"/>
              <w:spacing w:before="0" w:after="283"/>
              <w:jc w:val="center"/>
              <w:rPr>
                <w:color w:val="248EC3"/>
                <w:sz w:val="12"/>
              </w:rPr>
            </w:pPr>
            <w:r>
              <w:rPr>
                <w:color w:val="248EC3"/>
                <w:sz w:val="12"/>
              </w:rPr>
              <w:t>89%</w:t>
            </w:r>
          </w:p>
        </w:tc>
      </w:tr>
      <w:tr>
        <w:trPr/>
        <w:tc>
          <w:tcPr>
            <w:tcW w:w="5376" w:type="dxa"/>
            <w:tcBorders>
              <w:top w:val="single" w:sz="6" w:space="0" w:color="E5E5E5"/>
              <w:bottom w:val="single" w:sz="6" w:space="0" w:color="E5E5E5"/>
            </w:tcBorders>
            <w:tcMar>
              <w:top w:w="28" w:type="dxa"/>
              <w:bottom w:w="60" w:type="dxa"/>
            </w:tcMar>
            <w:vAlign w:val="center"/>
          </w:tcPr>
          <w:p>
            <w:pPr>
              <w:pStyle w:val="TableContents"/>
              <w:bidi w:val="0"/>
              <w:spacing w:lineRule="atLeast" w:line="180" w:before="0" w:after="0"/>
              <w:jc w:val="left"/>
              <w:rPr>
                <w:rFonts w:ascii="ARIAL" w:hAnsi="ARIAL"/>
                <w:sz w:val="14"/>
              </w:rPr>
            </w:pPr>
            <w:r>
              <w:rPr>
                <w:rFonts w:ascii="ARIAL" w:hAnsi="ARIAL"/>
                <w:b/>
                <w:sz w:val="14"/>
              </w:rPr>
              <w:t>Research &amp; Development / Innovation:</w:t>
            </w:r>
            <w:r>
              <w:rPr>
                <w:rFonts w:ascii="ARIAL" w:hAnsi="ARIAL"/>
                <w:sz w:val="14"/>
              </w:rPr>
              <w:t xml:space="preserve"> Experience in innovation, product development and design, including disruptive product innovation with background in navigating regulatory environments both in the U.S. and globally with respect to product research and development.</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385"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right"/>
              <w:rPr/>
            </w:pPr>
            <w:r>
              <w:rPr/>
              <w:drawing>
                <wp:inline distT="0" distB="0" distL="0" distR="0">
                  <wp:extent cx="213360" cy="20701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13360" cy="207010"/>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60" w:type="dxa"/>
              <w:right w:w="28" w:type="dxa"/>
            </w:tcMar>
            <w:vAlign w:val="center"/>
          </w:tcPr>
          <w:p>
            <w:pPr>
              <w:pStyle w:val="TableContents"/>
              <w:bidi w:val="0"/>
              <w:spacing w:before="0" w:after="283"/>
              <w:jc w:val="center"/>
              <w:rPr>
                <w:color w:val="248EC3"/>
                <w:sz w:val="12"/>
              </w:rPr>
            </w:pPr>
            <w:r>
              <w:rPr>
                <w:color w:val="248EC3"/>
                <w:sz w:val="12"/>
              </w:rPr>
              <w:t>100%</w:t>
            </w:r>
          </w:p>
        </w:tc>
      </w:tr>
      <w:tr>
        <w:trPr/>
        <w:tc>
          <w:tcPr>
            <w:tcW w:w="5376" w:type="dxa"/>
            <w:tcBorders>
              <w:top w:val="single" w:sz="6" w:space="0" w:color="E5E5E5"/>
              <w:bottom w:val="single" w:sz="6" w:space="0" w:color="E5E5E5"/>
            </w:tcBorders>
            <w:tcMar>
              <w:top w:w="28" w:type="dxa"/>
              <w:bottom w:w="60" w:type="dxa"/>
            </w:tcMar>
            <w:vAlign w:val="center"/>
          </w:tcPr>
          <w:p>
            <w:pPr>
              <w:pStyle w:val="TableContents"/>
              <w:bidi w:val="0"/>
              <w:spacing w:lineRule="atLeast" w:line="180" w:before="0" w:after="0"/>
              <w:jc w:val="left"/>
              <w:rPr>
                <w:rFonts w:ascii="ARIAL" w:hAnsi="ARIAL"/>
                <w:sz w:val="14"/>
              </w:rPr>
            </w:pPr>
            <w:r>
              <w:rPr>
                <w:rFonts w:ascii="ARIAL" w:hAnsi="ARIAL"/>
                <w:b/>
                <w:sz w:val="14"/>
              </w:rPr>
              <w:t>Marketing / Sales:</w:t>
            </w:r>
            <w:r>
              <w:rPr>
                <w:rFonts w:ascii="ARIAL" w:hAnsi="ARIAL"/>
                <w:sz w:val="14"/>
              </w:rPr>
              <w:t xml:space="preserve"> Understanding of marketing and sales including Brand Management, Distribution, eCommerce, Logistics, Marketing, Packaging and Selling. Knowledge about the fundamental and emerging go-to-market strategies across Brick and Mortar, Direct to Consumer, Online only and Omni-Channel retail marketplaces. Awareness of new and emerging Digital Commerce trends including Social &amp; Media Communication, Content Management, Last-mile Delivery, Technology and Data Science.</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385"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right"/>
              <w:rPr/>
            </w:pPr>
            <w:r>
              <w:rPr/>
              <w:drawing>
                <wp:inline distT="0" distB="0" distL="0" distR="0">
                  <wp:extent cx="213360" cy="20129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13360" cy="201295"/>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60" w:type="dxa"/>
              <w:right w:w="28" w:type="dxa"/>
            </w:tcMar>
            <w:vAlign w:val="center"/>
          </w:tcPr>
          <w:p>
            <w:pPr>
              <w:pStyle w:val="TableContents"/>
              <w:bidi w:val="0"/>
              <w:spacing w:before="0" w:after="283"/>
              <w:jc w:val="center"/>
              <w:rPr>
                <w:color w:val="248EC3"/>
                <w:sz w:val="12"/>
              </w:rPr>
            </w:pPr>
            <w:r>
              <w:rPr>
                <w:color w:val="248EC3"/>
                <w:sz w:val="12"/>
              </w:rPr>
              <w:t>89%</w:t>
            </w:r>
          </w:p>
        </w:tc>
      </w:tr>
      <w:tr>
        <w:trPr/>
        <w:tc>
          <w:tcPr>
            <w:tcW w:w="5376" w:type="dxa"/>
            <w:tcBorders>
              <w:top w:val="single" w:sz="6" w:space="0" w:color="E5E5E5"/>
              <w:bottom w:val="single" w:sz="6" w:space="0" w:color="E5E5E5"/>
            </w:tcBorders>
            <w:tcMar>
              <w:top w:w="28" w:type="dxa"/>
              <w:bottom w:w="60" w:type="dxa"/>
            </w:tcMar>
            <w:vAlign w:val="center"/>
          </w:tcPr>
          <w:p>
            <w:pPr>
              <w:pStyle w:val="TableContents"/>
              <w:bidi w:val="0"/>
              <w:spacing w:lineRule="atLeast" w:line="180" w:before="0" w:after="0"/>
              <w:jc w:val="left"/>
              <w:rPr>
                <w:rFonts w:ascii="ARIAL" w:hAnsi="ARIAL"/>
                <w:sz w:val="14"/>
              </w:rPr>
            </w:pPr>
            <w:r>
              <w:rPr>
                <w:rFonts w:ascii="ARIAL" w:hAnsi="ARIAL"/>
                <w:b/>
                <w:sz w:val="14"/>
              </w:rPr>
              <w:t>Public Company Governance:</w:t>
            </w:r>
            <w:r>
              <w:rPr>
                <w:rFonts w:ascii="ARIAL" w:hAnsi="ARIAL"/>
                <w:sz w:val="14"/>
              </w:rPr>
              <w:t xml:space="preserve"> Experience with and understanding of the responsibilities of a public company board, with an understanding of evolving corporate governance practices, ESG trends and the dynamics and operation of a corporate board, management accountability, transparency, and protecting stockholders, while balancing other constituencies, interests and long-term value creation.</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385"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right"/>
              <w:rPr/>
            </w:pPr>
            <w:r>
              <w:rPr/>
              <w:drawing>
                <wp:inline distT="0" distB="0" distL="0" distR="0">
                  <wp:extent cx="189230" cy="1587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89230" cy="158750"/>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60" w:type="dxa"/>
              <w:right w:w="28" w:type="dxa"/>
            </w:tcMar>
            <w:vAlign w:val="center"/>
          </w:tcPr>
          <w:p>
            <w:pPr>
              <w:pStyle w:val="TableContents"/>
              <w:bidi w:val="0"/>
              <w:spacing w:before="0" w:after="283"/>
              <w:jc w:val="center"/>
              <w:rPr>
                <w:color w:val="248EC3"/>
                <w:sz w:val="12"/>
              </w:rPr>
            </w:pPr>
            <w:r>
              <w:rPr>
                <w:color w:val="248EC3"/>
                <w:sz w:val="12"/>
              </w:rPr>
              <w:t>100%</w:t>
            </w:r>
          </w:p>
        </w:tc>
      </w:tr>
      <w:tr>
        <w:trPr/>
        <w:tc>
          <w:tcPr>
            <w:tcW w:w="5376" w:type="dxa"/>
            <w:tcBorders>
              <w:top w:val="single" w:sz="6" w:space="0" w:color="E5E5E5"/>
              <w:bottom w:val="single" w:sz="6" w:space="0" w:color="E5E5E5"/>
            </w:tcBorders>
            <w:tcMar>
              <w:top w:w="28" w:type="dxa"/>
              <w:bottom w:w="60" w:type="dxa"/>
            </w:tcMar>
            <w:vAlign w:val="center"/>
          </w:tcPr>
          <w:p>
            <w:pPr>
              <w:pStyle w:val="TableContents"/>
              <w:bidi w:val="0"/>
              <w:spacing w:lineRule="atLeast" w:line="180" w:before="0" w:after="0"/>
              <w:jc w:val="left"/>
              <w:rPr>
                <w:rFonts w:ascii="ARIAL" w:hAnsi="ARIAL"/>
                <w:sz w:val="14"/>
              </w:rPr>
            </w:pPr>
            <w:r>
              <w:rPr>
                <w:rFonts w:ascii="ARIAL" w:hAnsi="ARIAL"/>
                <w:b/>
                <w:sz w:val="14"/>
              </w:rPr>
              <w:t>Human Capital Management:</w:t>
            </w:r>
            <w:r>
              <w:rPr>
                <w:rFonts w:ascii="ARIAL" w:hAnsi="ARIAL"/>
                <w:sz w:val="14"/>
              </w:rPr>
              <w:t xml:space="preserve"> Experience with executive compensation, management of human capital and succession planning, including attraction, development and retention of top candidates.</w:t>
            </w:r>
          </w:p>
        </w:tc>
        <w:tc>
          <w:tcPr>
            <w:tcW w:w="60" w:type="dxa"/>
            <w:tcBorders>
              <w:top w:val="single" w:sz="6" w:space="0" w:color="E5E5E5"/>
              <w:left w:val="single" w:sz="6" w:space="0" w:color="E5E5E5"/>
              <w:bottom w:val="single" w:sz="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385"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right"/>
              <w:rPr/>
            </w:pPr>
            <w:r>
              <w:rPr/>
              <w:drawing>
                <wp:inline distT="0" distB="0" distL="0" distR="0">
                  <wp:extent cx="213360" cy="20828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13360" cy="208280"/>
                          </a:xfrm>
                          <a:prstGeom prst="rect">
                            <a:avLst/>
                          </a:prstGeom>
                        </pic:spPr>
                      </pic:pic>
                    </a:graphicData>
                  </a:graphic>
                </wp:inline>
              </w:drawing>
            </w:r>
            <w:r>
              <w:rPr/>
              <w:t xml:space="preserve"> </w:t>
            </w:r>
          </w:p>
        </w:tc>
        <w:tc>
          <w:tcPr>
            <w:tcW w:w="60" w:type="dxa"/>
            <w:tcBorders>
              <w:top w:val="single" w:sz="6" w:space="0" w:color="E5E5E5"/>
              <w:bottom w:val="single" w:sz="6" w:space="0" w:color="E5E5E5"/>
            </w:tcBorders>
            <w:tcMar>
              <w:top w:w="28" w:type="dxa"/>
              <w:bottom w:w="6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6" w:space="0" w:color="FFFFFF"/>
            </w:tcBorders>
            <w:shd w:fill="CCCCCC" w:val="clear"/>
            <w:tcMar>
              <w:top w:w="28" w:type="dxa"/>
              <w:bottom w:w="6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6" w:space="0" w:color="FFFFFF"/>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6" w:space="0" w:color="FFFFFF"/>
              <w:right w:val="single" w:sz="6" w:space="0" w:color="E5E5E5"/>
            </w:tcBorders>
            <w:shd w:fill="CCCCCC" w:val="clear"/>
            <w:tcMar>
              <w:top w:w="28" w:type="dxa"/>
              <w:bottom w:w="60" w:type="dxa"/>
              <w:right w:w="28" w:type="dxa"/>
            </w:tcMar>
            <w:vAlign w:val="center"/>
          </w:tcPr>
          <w:p>
            <w:pPr>
              <w:pStyle w:val="TableContents"/>
              <w:bidi w:val="0"/>
              <w:spacing w:before="0" w:after="283"/>
              <w:jc w:val="center"/>
              <w:rPr>
                <w:color w:val="248EC3"/>
                <w:sz w:val="12"/>
              </w:rPr>
            </w:pPr>
            <w:r>
              <w:rPr>
                <w:color w:val="248EC3"/>
                <w:sz w:val="12"/>
              </w:rPr>
              <w:t>89%</w:t>
            </w:r>
          </w:p>
        </w:tc>
      </w:tr>
      <w:tr>
        <w:trPr/>
        <w:tc>
          <w:tcPr>
            <w:tcW w:w="5376" w:type="dxa"/>
            <w:tcBorders>
              <w:top w:val="single" w:sz="6" w:space="0" w:color="E5E5E5"/>
              <w:bottom w:val="single" w:sz="16" w:space="0" w:color="E5E5E5"/>
            </w:tcBorders>
            <w:tcMar>
              <w:top w:w="28" w:type="dxa"/>
              <w:bottom w:w="100" w:type="dxa"/>
            </w:tcMar>
            <w:vAlign w:val="center"/>
          </w:tcPr>
          <w:p>
            <w:pPr>
              <w:pStyle w:val="TableContents"/>
              <w:bidi w:val="0"/>
              <w:spacing w:lineRule="atLeast" w:line="180" w:before="0" w:after="0"/>
              <w:jc w:val="left"/>
              <w:rPr>
                <w:rFonts w:ascii="ARIAL" w:hAnsi="ARIAL"/>
                <w:sz w:val="14"/>
              </w:rPr>
            </w:pPr>
            <w:r>
              <w:rPr>
                <w:rFonts w:ascii="ARIAL" w:hAnsi="ARIAL"/>
                <w:b/>
                <w:sz w:val="14"/>
              </w:rPr>
              <w:t>Supply Chain:</w:t>
            </w:r>
            <w:r>
              <w:rPr>
                <w:rFonts w:ascii="ARIAL" w:hAnsi="ARIAL"/>
                <w:sz w:val="14"/>
              </w:rPr>
              <w:t xml:space="preserve"> Experience in direct and indirect procurement, demand and supply planning, logistics, order to cash processing, manufacturing, and management of 3rd party manufacturers. Competence in supply chain IT systems, supply chain finance, lean manufacturing, manufacturing technology, organizational design and negotiations.</w:t>
            </w:r>
          </w:p>
        </w:tc>
        <w:tc>
          <w:tcPr>
            <w:tcW w:w="60" w:type="dxa"/>
            <w:tcBorders>
              <w:top w:val="single" w:sz="6" w:space="0" w:color="E5E5E5"/>
              <w:left w:val="single" w:sz="6" w:space="0" w:color="E5E5E5"/>
              <w:bottom w:val="single" w:sz="16" w:space="0" w:color="E5E5E5"/>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E5E5E5"/>
              <w:bottom w:val="single" w:sz="16" w:space="0" w:color="E5E5E5"/>
            </w:tcBorders>
            <w:tcMar>
              <w:top w:w="28" w:type="dxa"/>
              <w:bottom w:w="100" w:type="dxa"/>
            </w:tcMar>
            <w:vAlign w:val="center"/>
          </w:tcPr>
          <w:p>
            <w:pPr>
              <w:pStyle w:val="TableContents"/>
              <w:bidi w:val="0"/>
              <w:spacing w:before="0" w:after="283"/>
              <w:jc w:val="left"/>
              <w:rPr/>
            </w:pPr>
            <w:r>
              <w:rPr/>
              <w:t> </w:t>
            </w:r>
          </w:p>
        </w:tc>
        <w:tc>
          <w:tcPr>
            <w:tcW w:w="385" w:type="dxa"/>
            <w:tcBorders>
              <w:top w:val="single" w:sz="6" w:space="0" w:color="E5E5E5"/>
              <w:bottom w:val="single" w:sz="16" w:space="0" w:color="E5E5E5"/>
            </w:tcBorders>
            <w:tcMar>
              <w:top w:w="28" w:type="dxa"/>
              <w:bottom w:w="100" w:type="dxa"/>
            </w:tcMar>
            <w:vAlign w:val="center"/>
          </w:tcPr>
          <w:p>
            <w:pPr>
              <w:pStyle w:val="TableContents"/>
              <w:bidi w:val="0"/>
              <w:spacing w:before="0" w:after="283"/>
              <w:jc w:val="right"/>
              <w:rPr/>
            </w:pPr>
            <w:r>
              <w:rPr/>
              <w:drawing>
                <wp:inline distT="0" distB="0" distL="0" distR="0">
                  <wp:extent cx="239395" cy="16002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39395" cy="160020"/>
                          </a:xfrm>
                          <a:prstGeom prst="rect">
                            <a:avLst/>
                          </a:prstGeom>
                        </pic:spPr>
                      </pic:pic>
                    </a:graphicData>
                  </a:graphic>
                </wp:inline>
              </w:drawing>
            </w:r>
            <w:r>
              <w:rPr/>
              <w:t xml:space="preserve"> </w:t>
            </w:r>
          </w:p>
        </w:tc>
        <w:tc>
          <w:tcPr>
            <w:tcW w:w="60" w:type="dxa"/>
            <w:tcBorders>
              <w:top w:val="single" w:sz="6" w:space="0" w:color="E5E5E5"/>
              <w:bottom w:val="single" w:sz="16" w:space="0" w:color="E5E5E5"/>
            </w:tcBorders>
            <w:tcMar>
              <w:top w:w="28" w:type="dxa"/>
              <w:bottom w:w="100"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E5E5E5"/>
              <w:bottom w:val="single" w:sz="1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16" w:space="0" w:color="E5E5E5"/>
            </w:tcBorders>
            <w:shd w:fill="CCCCCC" w:val="clear"/>
            <w:tcMar>
              <w:top w:w="28" w:type="dxa"/>
              <w:bottom w:w="10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1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16" w:space="0" w:color="E5E5E5"/>
            </w:tcBorders>
            <w:shd w:fill="CCCCCC" w:val="clear"/>
            <w:tcMar>
              <w:top w:w="28" w:type="dxa"/>
              <w:bottom w:w="10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1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16" w:space="0" w:color="E5E5E5"/>
            </w:tcBorders>
            <w:shd w:fill="CCCCCC" w:val="clear"/>
            <w:tcMar>
              <w:top w:w="28" w:type="dxa"/>
              <w:bottom w:w="10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1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16" w:space="0" w:color="E5E5E5"/>
            </w:tcBorders>
            <w:shd w:fill="CCCCCC" w:val="clear"/>
            <w:tcMar>
              <w:top w:w="28" w:type="dxa"/>
              <w:bottom w:w="10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1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16" w:space="0" w:color="E5E5E5"/>
            </w:tcBorders>
            <w:shd w:fill="CCCCCC" w:val="clear"/>
            <w:tcMar>
              <w:top w:w="28" w:type="dxa"/>
              <w:bottom w:w="10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1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16" w:space="0" w:color="E5E5E5"/>
            </w:tcBorders>
            <w:shd w:fill="CCCCCC" w:val="clear"/>
            <w:tcMar>
              <w:top w:w="28" w:type="dxa"/>
              <w:bottom w:w="10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1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16" w:space="0" w:color="E5E5E5"/>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1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16" w:space="0" w:color="E5E5E5"/>
            </w:tcBorders>
            <w:shd w:fill="CCCCC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E5E5E5"/>
              <w:left w:val="single" w:sz="6" w:space="0" w:color="FFFFFF"/>
              <w:bottom w:val="single" w:sz="1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353" w:type="dxa"/>
            <w:tcBorders>
              <w:top w:val="single" w:sz="6" w:space="0" w:color="E5E5E5"/>
              <w:bottom w:val="single" w:sz="16" w:space="0" w:color="E5E5E5"/>
            </w:tcBorders>
            <w:shd w:fill="CCCCCC" w:val="clear"/>
            <w:tcMar>
              <w:top w:w="28" w:type="dxa"/>
              <w:bottom w:w="100" w:type="dxa"/>
            </w:tcMar>
            <w:vAlign w:val="center"/>
          </w:tcPr>
          <w:p>
            <w:pPr>
              <w:pStyle w:val="TableContents"/>
              <w:bidi w:val="0"/>
              <w:spacing w:before="0" w:after="283"/>
              <w:jc w:val="center"/>
              <w:rPr>
                <w:color w:val="248EC3"/>
              </w:rPr>
            </w:pPr>
            <w:r>
              <w:rPr>
                <w:color w:val="248EC3"/>
              </w:rPr>
              <w:t>●</w:t>
            </w:r>
          </w:p>
        </w:tc>
        <w:tc>
          <w:tcPr>
            <w:tcW w:w="60" w:type="dxa"/>
            <w:tcBorders>
              <w:top w:val="single" w:sz="6" w:space="0" w:color="E5E5E5"/>
              <w:left w:val="single" w:sz="6" w:space="0" w:color="FFFFFF"/>
              <w:bottom w:val="single" w:sz="16" w:space="0" w:color="E5E5E5"/>
            </w:tcBorders>
            <w:shd w:fill="CCCCCC" w:val="clear"/>
            <w:tcMar>
              <w:top w:w="28" w:type="dxa"/>
              <w:left w:w="28" w:type="dxa"/>
              <w:bottom w:w="28" w:type="dxa"/>
            </w:tcMar>
            <w:vAlign w:val="center"/>
          </w:tcPr>
          <w:p>
            <w:pPr>
              <w:pStyle w:val="TableContents"/>
              <w:bidi w:val="0"/>
              <w:spacing w:before="0" w:after="283"/>
              <w:jc w:val="left"/>
              <w:rPr/>
            </w:pPr>
            <w:r>
              <w:rPr/>
              <w:t> </w:t>
            </w:r>
          </w:p>
        </w:tc>
        <w:tc>
          <w:tcPr>
            <w:tcW w:w="487" w:type="dxa"/>
            <w:tcBorders>
              <w:top w:val="single" w:sz="6" w:space="0" w:color="E5E5E5"/>
              <w:bottom w:val="single" w:sz="16" w:space="0" w:color="E5E5E5"/>
              <w:right w:val="single" w:sz="6" w:space="0" w:color="E5E5E5"/>
            </w:tcBorders>
            <w:shd w:fill="CCCCCC" w:val="clear"/>
            <w:tcMar>
              <w:top w:w="28" w:type="dxa"/>
              <w:bottom w:w="100" w:type="dxa"/>
              <w:right w:w="28" w:type="dxa"/>
            </w:tcMar>
            <w:vAlign w:val="center"/>
          </w:tcPr>
          <w:p>
            <w:pPr>
              <w:pStyle w:val="TableContents"/>
              <w:bidi w:val="0"/>
              <w:spacing w:before="0" w:after="283"/>
              <w:jc w:val="center"/>
              <w:rPr>
                <w:color w:val="248EC3"/>
                <w:sz w:val="12"/>
              </w:rPr>
            </w:pPr>
            <w:r>
              <w:rPr>
                <w:color w:val="248EC3"/>
                <w:sz w:val="12"/>
              </w:rPr>
              <w:t>78%</w:t>
            </w:r>
          </w:p>
        </w:tc>
      </w:tr>
      <w:tr>
        <w:trPr/>
        <w:tc>
          <w:tcPr>
            <w:tcW w:w="5376" w:type="dxa"/>
            <w:tcBorders>
              <w:bottom w:val="single" w:sz="16" w:space="0" w:color="B2B2B2"/>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248EC3"/>
                <w:sz w:val="20"/>
              </w:rPr>
            </w:pPr>
            <w:r>
              <w:rPr>
                <w:rFonts w:ascii="ARIAL" w:hAnsi="ARIAL"/>
                <w:b/>
                <w:color w:val="248EC3"/>
                <w:sz w:val="20"/>
              </w:rPr>
              <w:t>Background</w:t>
            </w:r>
          </w:p>
        </w:tc>
        <w:tc>
          <w:tcPr>
            <w:tcW w:w="60" w:type="dxa"/>
            <w:tcBorders>
              <w:left w:val="single" w:sz="6" w:space="0" w:color="E5E5E5"/>
              <w:bottom w:val="single" w:sz="16"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16" w:space="0" w:color="B2B2B2"/>
            </w:tcBorders>
            <w:tcMar>
              <w:bottom w:w="28" w:type="dxa"/>
            </w:tcMar>
            <w:vAlign w:val="center"/>
          </w:tcPr>
          <w:p>
            <w:pPr>
              <w:pStyle w:val="TableContents"/>
              <w:bidi w:val="0"/>
              <w:spacing w:before="0" w:after="283"/>
              <w:jc w:val="left"/>
              <w:rPr/>
            </w:pPr>
            <w:r>
              <w:rPr/>
              <w:t> </w:t>
            </w:r>
          </w:p>
        </w:tc>
        <w:tc>
          <w:tcPr>
            <w:tcW w:w="385" w:type="dxa"/>
            <w:tcBorders>
              <w:bottom w:val="single" w:sz="16" w:space="0" w:color="B2B2B2"/>
            </w:tcBorders>
            <w:tcMar>
              <w:bottom w:w="28" w:type="dxa"/>
            </w:tcMar>
            <w:vAlign w:val="center"/>
          </w:tcPr>
          <w:p>
            <w:pPr>
              <w:pStyle w:val="TableContents"/>
              <w:bidi w:val="0"/>
              <w:spacing w:before="0" w:after="283"/>
              <w:jc w:val="left"/>
              <w:rPr/>
            </w:pPr>
            <w:r>
              <w:rPr/>
              <w:t> </w:t>
            </w:r>
          </w:p>
        </w:tc>
        <w:tc>
          <w:tcPr>
            <w:tcW w:w="60" w:type="dxa"/>
            <w:tcBorders>
              <w:bottom w:val="single" w:sz="16" w:space="0" w:color="B2B2B2"/>
            </w:tcBorders>
            <w:tcMar>
              <w:bottom w:w="28" w:type="dxa"/>
            </w:tcMar>
            <w:vAlign w:val="center"/>
          </w:tcPr>
          <w:p>
            <w:pPr>
              <w:pStyle w:val="TableContents"/>
              <w:bidi w:val="0"/>
              <w:spacing w:before="0" w:after="283"/>
              <w:jc w:val="left"/>
              <w:rPr/>
            </w:pPr>
            <w:r>
              <w:rPr/>
              <w:t> </w:t>
            </w:r>
          </w:p>
        </w:tc>
        <w:tc>
          <w:tcPr>
            <w:tcW w:w="60" w:type="dxa"/>
            <w:tcBorders>
              <w:left w:val="single" w:sz="6" w:space="0" w:color="E5E5E5"/>
              <w:bottom w:val="single" w:sz="16" w:space="0" w:color="B2B2B2"/>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16" w:space="0" w:color="B2B2B2"/>
            </w:tcBorders>
            <w:shd w:fill="CCCCCC"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16" w:space="0" w:color="B2B2B2"/>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16" w:space="0" w:color="B2B2B2"/>
            </w:tcBorders>
            <w:shd w:fill="CCCCCC"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16" w:space="0" w:color="B2B2B2"/>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16" w:space="0" w:color="B2B2B2"/>
            </w:tcBorders>
            <w:shd w:fill="CCCCCC"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16" w:space="0" w:color="B2B2B2"/>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16" w:space="0" w:color="B2B2B2"/>
            </w:tcBorders>
            <w:shd w:fill="CCCCCC"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16" w:space="0" w:color="B2B2B2"/>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16" w:space="0" w:color="B2B2B2"/>
            </w:tcBorders>
            <w:shd w:fill="CCCCCC"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16" w:space="0" w:color="B2B2B2"/>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16" w:space="0" w:color="B2B2B2"/>
            </w:tcBorders>
            <w:shd w:fill="CCCCCC"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16" w:space="0" w:color="B2B2B2"/>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16" w:space="0" w:color="B2B2B2"/>
            </w:tcBorders>
            <w:shd w:fill="CCCCCC"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16" w:space="0" w:color="B2B2B2"/>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16" w:space="0" w:color="B2B2B2"/>
            </w:tcBorders>
            <w:shd w:fill="CCCCCC"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16" w:space="0" w:color="B2B2B2"/>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16" w:space="0" w:color="B2B2B2"/>
            </w:tcBorders>
            <w:shd w:fill="CCCCCC"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16" w:space="0" w:color="B2B2B2"/>
            </w:tcBorders>
            <w:shd w:fill="CCCCCC" w:val="clear"/>
            <w:tcMar>
              <w:left w:w="28" w:type="dxa"/>
              <w:bottom w:w="28" w:type="dxa"/>
            </w:tcMar>
            <w:vAlign w:val="center"/>
          </w:tcPr>
          <w:p>
            <w:pPr>
              <w:pStyle w:val="TableContents"/>
              <w:bidi w:val="0"/>
              <w:spacing w:before="0" w:after="283"/>
              <w:jc w:val="left"/>
              <w:rPr/>
            </w:pPr>
            <w:r>
              <w:rPr/>
              <w:t> </w:t>
            </w:r>
          </w:p>
        </w:tc>
        <w:tc>
          <w:tcPr>
            <w:tcW w:w="487" w:type="dxa"/>
            <w:tcBorders>
              <w:bottom w:val="single" w:sz="16" w:space="0" w:color="B2B2B2"/>
            </w:tcBorders>
            <w:shd w:fill="CCCCCC" w:val="clear"/>
            <w:tcMar>
              <w:bottom w:w="28" w:type="dxa"/>
            </w:tcMar>
            <w:vAlign w:val="center"/>
          </w:tcPr>
          <w:p>
            <w:pPr>
              <w:pStyle w:val="TableContents"/>
              <w:bidi w:val="0"/>
              <w:spacing w:before="0" w:after="283"/>
              <w:jc w:val="left"/>
              <w:rPr/>
            </w:pPr>
            <w:r>
              <w:rPr/>
              <w:t> </w:t>
            </w:r>
          </w:p>
        </w:tc>
      </w:tr>
      <w:tr>
        <w:trPr/>
        <w:tc>
          <w:tcPr>
            <w:tcW w:w="5376" w:type="dxa"/>
            <w:tcBorders>
              <w:bottom w:val="single" w:sz="6" w:space="0" w:color="E5E5E5"/>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4"/>
              </w:rPr>
            </w:pPr>
            <w:r>
              <w:rPr>
                <w:rFonts w:ascii="ARIAL" w:hAnsi="ARIAL"/>
                <w:b/>
                <w:sz w:val="14"/>
              </w:rPr>
              <w:t>Tenure (years)</w:t>
            </w:r>
          </w:p>
          <w:p>
            <w:pPr>
              <w:pStyle w:val="TableContents"/>
              <w:bidi w:val="0"/>
              <w:spacing w:before="0" w:after="20"/>
              <w:jc w:val="left"/>
              <w:rPr/>
            </w:pPr>
            <w:r>
              <w:rPr/>
              <w:t> </w:t>
            </w:r>
          </w:p>
        </w:tc>
        <w:tc>
          <w:tcPr>
            <w:tcW w:w="60" w:type="dxa"/>
            <w:tcBorders>
              <w:left w:val="single" w:sz="6" w:space="0" w:color="E5E5E5"/>
              <w:bottom w:val="single" w:sz="6" w:space="0" w:color="E5E5E5"/>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5E5E5"/>
            </w:tcBorders>
            <w:tcMar>
              <w:bottom w:w="28" w:type="dxa"/>
            </w:tcMar>
            <w:vAlign w:val="center"/>
          </w:tcPr>
          <w:p>
            <w:pPr>
              <w:pStyle w:val="TableContents"/>
              <w:bidi w:val="0"/>
              <w:spacing w:before="0" w:after="283"/>
              <w:jc w:val="left"/>
              <w:rPr/>
            </w:pPr>
            <w:r>
              <w:rPr/>
              <w:t> </w:t>
            </w:r>
          </w:p>
        </w:tc>
        <w:tc>
          <w:tcPr>
            <w:tcW w:w="385" w:type="dxa"/>
            <w:tcBorders>
              <w:bottom w:val="single" w:sz="6" w:space="0" w:color="E5E5E5"/>
            </w:tcBorders>
            <w:tcMar>
              <w:bottom w:w="28" w:type="dxa"/>
            </w:tcMar>
            <w:vAlign w:val="center"/>
          </w:tcPr>
          <w:p>
            <w:pPr>
              <w:pStyle w:val="TableContents"/>
              <w:bidi w:val="0"/>
              <w:spacing w:before="0" w:after="283"/>
              <w:jc w:val="left"/>
              <w:rPr/>
            </w:pPr>
            <w:r>
              <w:rPr/>
              <w:t> </w:t>
            </w:r>
          </w:p>
        </w:tc>
        <w:tc>
          <w:tcPr>
            <w:tcW w:w="60" w:type="dxa"/>
            <w:tcBorders>
              <w:bottom w:val="single" w:sz="6" w:space="0" w:color="E5E5E5"/>
            </w:tcBorders>
            <w:tcMar>
              <w:bottom w:w="28" w:type="dxa"/>
            </w:tcMar>
            <w:vAlign w:val="center"/>
          </w:tcPr>
          <w:p>
            <w:pPr>
              <w:pStyle w:val="TableContents"/>
              <w:bidi w:val="0"/>
              <w:spacing w:before="0" w:after="283"/>
              <w:jc w:val="left"/>
              <w:rPr/>
            </w:pPr>
            <w:r>
              <w:rPr/>
              <w:t> </w:t>
            </w:r>
          </w:p>
        </w:tc>
        <w:tc>
          <w:tcPr>
            <w:tcW w:w="60" w:type="dxa"/>
            <w:tcBorders>
              <w:left w:val="single" w:sz="6" w:space="0" w:color="E5E5E5"/>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3</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8</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8</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2</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8</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1</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8</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3</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2</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487"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2"/>
              </w:rPr>
            </w:pPr>
            <w:r>
              <w:rPr>
                <w:rFonts w:ascii="ARIAL" w:hAnsi="ARIAL"/>
                <w:b/>
                <w:sz w:val="12"/>
              </w:rPr>
              <w:t>Avg: 4.8</w:t>
            </w:r>
          </w:p>
          <w:p>
            <w:pPr>
              <w:pStyle w:val="TableContents"/>
              <w:bidi w:val="0"/>
              <w:spacing w:before="0" w:after="20"/>
              <w:jc w:val="left"/>
              <w:rPr/>
            </w:pPr>
            <w:r>
              <w:rPr/>
              <w:t> </w:t>
            </w:r>
          </w:p>
        </w:tc>
      </w:tr>
      <w:tr>
        <w:trPr/>
        <w:tc>
          <w:tcPr>
            <w:tcW w:w="5376" w:type="dxa"/>
            <w:tcBorders>
              <w:bottom w:val="single" w:sz="6" w:space="0" w:color="E5E5E5"/>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4"/>
              </w:rPr>
            </w:pPr>
            <w:r>
              <w:rPr>
                <w:rFonts w:ascii="ARIAL" w:hAnsi="ARIAL"/>
                <w:b/>
                <w:sz w:val="14"/>
              </w:rPr>
              <w:t>Age</w:t>
            </w:r>
          </w:p>
          <w:p>
            <w:pPr>
              <w:pStyle w:val="TableContents"/>
              <w:bidi w:val="0"/>
              <w:spacing w:before="0" w:after="20"/>
              <w:jc w:val="left"/>
              <w:rPr/>
            </w:pPr>
            <w:r>
              <w:rPr/>
              <w:t> </w:t>
            </w:r>
          </w:p>
        </w:tc>
        <w:tc>
          <w:tcPr>
            <w:tcW w:w="60" w:type="dxa"/>
            <w:tcBorders>
              <w:left w:val="single" w:sz="6" w:space="0" w:color="E5E5E5"/>
              <w:bottom w:val="single" w:sz="6" w:space="0" w:color="E5E5E5"/>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5E5E5"/>
            </w:tcBorders>
            <w:tcMar>
              <w:bottom w:w="28" w:type="dxa"/>
            </w:tcMar>
            <w:vAlign w:val="center"/>
          </w:tcPr>
          <w:p>
            <w:pPr>
              <w:pStyle w:val="TableContents"/>
              <w:bidi w:val="0"/>
              <w:spacing w:before="0" w:after="283"/>
              <w:jc w:val="left"/>
              <w:rPr/>
            </w:pPr>
            <w:r>
              <w:rPr/>
              <w:t> </w:t>
            </w:r>
          </w:p>
        </w:tc>
        <w:tc>
          <w:tcPr>
            <w:tcW w:w="385" w:type="dxa"/>
            <w:tcBorders>
              <w:bottom w:val="single" w:sz="6" w:space="0" w:color="E5E5E5"/>
            </w:tcBorders>
            <w:tcMar>
              <w:bottom w:w="28" w:type="dxa"/>
            </w:tcMar>
            <w:vAlign w:val="center"/>
          </w:tcPr>
          <w:p>
            <w:pPr>
              <w:pStyle w:val="TableContents"/>
              <w:bidi w:val="0"/>
              <w:spacing w:before="0" w:after="283"/>
              <w:jc w:val="left"/>
              <w:rPr/>
            </w:pPr>
            <w:r>
              <w:rPr/>
              <w:t> </w:t>
            </w:r>
          </w:p>
        </w:tc>
        <w:tc>
          <w:tcPr>
            <w:tcW w:w="60" w:type="dxa"/>
            <w:tcBorders>
              <w:bottom w:val="single" w:sz="6" w:space="0" w:color="E5E5E5"/>
            </w:tcBorders>
            <w:tcMar>
              <w:bottom w:w="28" w:type="dxa"/>
            </w:tcMar>
            <w:vAlign w:val="center"/>
          </w:tcPr>
          <w:p>
            <w:pPr>
              <w:pStyle w:val="TableContents"/>
              <w:bidi w:val="0"/>
              <w:spacing w:before="0" w:after="283"/>
              <w:jc w:val="left"/>
              <w:rPr/>
            </w:pPr>
            <w:r>
              <w:rPr/>
              <w:t> </w:t>
            </w:r>
          </w:p>
        </w:tc>
        <w:tc>
          <w:tcPr>
            <w:tcW w:w="60" w:type="dxa"/>
            <w:tcBorders>
              <w:left w:val="single" w:sz="6" w:space="0" w:color="E5E5E5"/>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59</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65</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73</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66</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66</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61</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72</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59</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353"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58</w:t>
            </w:r>
          </w:p>
          <w:p>
            <w:pPr>
              <w:pStyle w:val="TableContents"/>
              <w:bidi w:val="0"/>
              <w:spacing w:before="0" w:after="20"/>
              <w:jc w:val="left"/>
              <w:rPr/>
            </w:pPr>
            <w:r>
              <w:rPr/>
              <w:t> </w:t>
            </w:r>
          </w:p>
        </w:tc>
        <w:tc>
          <w:tcPr>
            <w:tcW w:w="60" w:type="dxa"/>
            <w:tcBorders>
              <w:left w:val="single" w:sz="6" w:space="0" w:color="FFFFFF"/>
              <w:bottom w:val="single" w:sz="6" w:space="0" w:color="E5E5E5"/>
            </w:tcBorders>
            <w:shd w:fill="CCCCCC" w:val="clear"/>
            <w:tcMar>
              <w:left w:w="28" w:type="dxa"/>
              <w:bottom w:w="28" w:type="dxa"/>
            </w:tcMar>
            <w:vAlign w:val="center"/>
          </w:tcPr>
          <w:p>
            <w:pPr>
              <w:pStyle w:val="TableContents"/>
              <w:bidi w:val="0"/>
              <w:spacing w:before="0" w:after="283"/>
              <w:jc w:val="left"/>
              <w:rPr/>
            </w:pPr>
            <w:r>
              <w:rPr/>
              <w:t> </w:t>
            </w:r>
          </w:p>
        </w:tc>
        <w:tc>
          <w:tcPr>
            <w:tcW w:w="487" w:type="dxa"/>
            <w:tcBorders>
              <w:bottom w:val="single" w:sz="6" w:space="0" w:color="E5E5E5"/>
            </w:tcBorders>
            <w:shd w:fill="CCCCCC"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2"/>
              </w:rPr>
            </w:pPr>
            <w:r>
              <w:rPr>
                <w:rFonts w:ascii="ARIAL" w:hAnsi="ARIAL"/>
                <w:b/>
                <w:sz w:val="12"/>
              </w:rPr>
              <w:t>Avg: 64</w:t>
            </w:r>
          </w:p>
          <w:p>
            <w:pPr>
              <w:pStyle w:val="TableContents"/>
              <w:bidi w:val="0"/>
              <w:spacing w:before="0" w:after="20"/>
              <w:jc w:val="left"/>
              <w:rPr/>
            </w:pPr>
            <w:r>
              <w:rPr/>
              <w:t> </w:t>
            </w:r>
          </w:p>
        </w:tc>
      </w:tr>
    </w:tbl>
    <w:p>
      <w:pPr>
        <w:pStyle w:val="TextBody"/>
        <w:bidi w:val="0"/>
        <w:spacing w:before="360" w:after="0"/>
        <w:jc w:val="left"/>
        <w:rPr>
          <w:rFonts w:ascii="ARIAL" w:hAnsi="ARIAL"/>
          <w:b/>
          <w:color w:val="248EC3"/>
          <w:sz w:val="22"/>
        </w:rPr>
      </w:pPr>
      <w:r>
        <w:rPr>
          <w:rFonts w:ascii="ARIAL" w:hAnsi="ARIAL"/>
          <w:b/>
          <w:color w:val="248EC3"/>
          <w:sz w:val="22"/>
        </w:rPr>
        <w:t xml:space="preserve">SERVICE ON OUTSIDE BOARDS </w:t>
      </w:r>
    </w:p>
    <w:p>
      <w:pPr>
        <w:pStyle w:val="TextBody"/>
        <w:bidi w:val="0"/>
        <w:spacing w:before="240" w:after="0"/>
        <w:jc w:val="both"/>
        <w:rPr>
          <w:rFonts w:ascii="ARIAL" w:hAnsi="ARIAL"/>
          <w:sz w:val="22"/>
        </w:rPr>
      </w:pPr>
      <w:r>
        <w:rPr>
          <w:rFonts w:ascii="ARIAL" w:hAnsi="ARIAL"/>
          <w:sz w:val="22"/>
        </w:rPr>
        <w:t xml:space="preserve">Pursuant to the Company’s Corporate Governance Guidelines, directors may serve on the board of directors of other public companies but are required to limit such service to boards of no more than three public companies in addition to the Company’s Board.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Additionally, Directors who also serve as the Chief Executive Officer of a public company are expected to serve on no more than one other public company board of directors in addition to the Company’s Board. The Nominating/Governance Committee and the Board considers the nature of and time involved in a Director’s service on other corporate boards as well as their employment status in evaluating the suitability of individual directors for nomination. As of the date of this Proxy Statement, all director nominees were in compliance with the Company’s standards for service on outside boards. </w:t>
      </w:r>
    </w:p>
    <w:p>
      <w:pPr>
        <w:pStyle w:val="TextBody"/>
        <w:bidi w:val="0"/>
        <w:spacing w:before="360" w:after="0"/>
        <w:jc w:val="left"/>
        <w:rPr>
          <w:rFonts w:ascii="ARIAL" w:hAnsi="ARIAL"/>
          <w:b/>
          <w:color w:val="248EC3"/>
          <w:sz w:val="22"/>
        </w:rPr>
      </w:pPr>
      <w:r>
        <w:rPr>
          <w:rFonts w:ascii="ARIAL" w:hAnsi="ARIAL"/>
          <w:b/>
          <w:color w:val="248EC3"/>
          <w:sz w:val="22"/>
        </w:rPr>
        <w:t xml:space="preserve">COMMUNICATIONS WITH THE BOARD </w:t>
      </w:r>
    </w:p>
    <w:p>
      <w:pPr>
        <w:pStyle w:val="TextBody"/>
        <w:bidi w:val="0"/>
        <w:spacing w:before="240" w:after="0"/>
        <w:jc w:val="both"/>
        <w:rPr>
          <w:rFonts w:ascii="ARIAL" w:hAnsi="ARIAL"/>
          <w:sz w:val="22"/>
        </w:rPr>
      </w:pPr>
      <w:r>
        <w:rPr>
          <w:rFonts w:ascii="ARIAL" w:hAnsi="ARIAL"/>
          <w:sz w:val="22"/>
        </w:rPr>
        <w:t xml:space="preserve">The independent members of the Board have adopted procedures for the processing and review of stockholder communications to the Board which provide for the processing, review and disposition of all communications sent by stockholders or other interested persons to the Board. Stockholders and other interested persons may communicate with the Company’s Board or any member or committee of the Board by writing to them at the following address: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ARIAL" w:hAnsi="ARIAL"/>
          <w:sz w:val="22"/>
        </w:rPr>
      </w:pPr>
      <w:r>
        <w:rPr>
          <w:rFonts w:ascii="ARIAL" w:hAnsi="ARIAL"/>
          <w:sz w:val="22"/>
        </w:rPr>
        <w:t xml:space="preserve">Newell Brands Inc. </w:t>
      </w:r>
    </w:p>
    <w:p>
      <w:pPr>
        <w:pStyle w:val="TextBody"/>
        <w:bidi w:val="0"/>
        <w:spacing w:before="0" w:after="0"/>
        <w:jc w:val="center"/>
        <w:rPr>
          <w:rFonts w:ascii="ARIAL" w:hAnsi="ARIAL"/>
          <w:sz w:val="22"/>
        </w:rPr>
      </w:pPr>
      <w:r>
        <w:rPr>
          <w:rFonts w:ascii="ARIAL" w:hAnsi="ARIAL"/>
          <w:sz w:val="22"/>
        </w:rPr>
        <w:t xml:space="preserve">Attention: Board of Directors </w:t>
      </w:r>
    </w:p>
    <w:p>
      <w:pPr>
        <w:pStyle w:val="TextBody"/>
        <w:bidi w:val="0"/>
        <w:spacing w:before="0" w:after="0"/>
        <w:jc w:val="center"/>
        <w:rPr>
          <w:rFonts w:ascii="ARIAL" w:hAnsi="ARIAL"/>
          <w:sz w:val="22"/>
        </w:rPr>
      </w:pPr>
      <w:r>
        <w:rPr>
          <w:rFonts w:ascii="ARIAL" w:hAnsi="ARIAL"/>
          <w:sz w:val="22"/>
        </w:rPr>
        <w:t xml:space="preserve">c/o Corporate Secretary </w:t>
      </w:r>
    </w:p>
    <w:p>
      <w:pPr>
        <w:pStyle w:val="TextBody"/>
        <w:bidi w:val="0"/>
        <w:spacing w:before="0" w:after="0"/>
        <w:jc w:val="center"/>
        <w:rPr>
          <w:rFonts w:ascii="ARIAL" w:hAnsi="ARIAL"/>
          <w:sz w:val="22"/>
        </w:rPr>
      </w:pPr>
      <w:r>
        <w:rPr>
          <w:rFonts w:ascii="ARIAL" w:hAnsi="ARIAL"/>
          <w:sz w:val="22"/>
        </w:rPr>
        <w:t xml:space="preserve">5 Concourse Parkway, NE </w:t>
      </w:r>
    </w:p>
    <w:p>
      <w:pPr>
        <w:pStyle w:val="TextBody"/>
        <w:bidi w:val="0"/>
        <w:spacing w:before="0" w:after="0"/>
        <w:jc w:val="center"/>
        <w:rPr>
          <w:rFonts w:ascii="ARIAL" w:hAnsi="ARIAL"/>
          <w:sz w:val="22"/>
        </w:rPr>
      </w:pPr>
      <w:r>
        <w:rPr>
          <w:rFonts w:ascii="ARIAL" w:hAnsi="ARIAL"/>
          <w:sz w:val="22"/>
        </w:rPr>
        <w:t xml:space="preserve">8th Floor </w:t>
      </w:r>
    </w:p>
    <w:p>
      <w:pPr>
        <w:pStyle w:val="TextBody"/>
        <w:bidi w:val="0"/>
        <w:spacing w:before="0" w:after="0"/>
        <w:jc w:val="center"/>
        <w:rPr>
          <w:rFonts w:ascii="ARIAL" w:hAnsi="ARIAL"/>
          <w:sz w:val="22"/>
        </w:rPr>
      </w:pPr>
      <w:r>
        <w:rPr>
          <w:rFonts w:ascii="ARIAL" w:hAnsi="ARIAL"/>
          <w:sz w:val="22"/>
        </w:rPr>
        <w:t xml:space="preserve">Atlanta, Georgia 30328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 xml:space="preserve">Communications directed to the independent directors should be sent to the attention of the Chairperson of the Board or the Chair of the Nominating/Governance Committee, c/o Corporate Secretary, at the address indicated above. </w:t>
      </w:r>
    </w:p>
    <w:p>
      <w:pPr>
        <w:pStyle w:val="TextBody"/>
        <w:bidi w:val="0"/>
        <w:spacing w:before="240" w:after="0"/>
        <w:jc w:val="both"/>
        <w:rPr>
          <w:rFonts w:ascii="ARIAL" w:hAnsi="ARIAL"/>
          <w:sz w:val="22"/>
        </w:rPr>
      </w:pPr>
      <w:r>
        <w:rPr>
          <w:rFonts w:ascii="ARIAL" w:hAnsi="ARIAL"/>
          <w:sz w:val="22"/>
        </w:rPr>
        <w:t xml:space="preserve">Any complaint or concern regarding financial statement disclosures, accounting, internal accounting controls, auditing matters or violations of the Company’s Code of Ethics for Senior Financial Officers should be sent to the attention of the Chief Legal Officer at the address indicated above or may be submitted in a sealed envelope addressed to the Chair of the Audit Committee, c/o Chief Legal Officer, at the same address, and labeled with a legend such as: “To Be Opened Only by the Audit Committee.” Such accounting complaints will be processed in accordance with procedures adopted by the Audit Committee. Further Information on reporting allegations relating to accounting matters is available under the “Corporate Governance” link under the “Investors” tab on the Company’s website at </w:t>
      </w:r>
      <w:r>
        <w:rPr>
          <w:rFonts w:ascii="ARIAL" w:hAnsi="ARIAL"/>
          <w:i/>
          <w:sz w:val="22"/>
        </w:rPr>
        <w:t>www.newellbrands.com</w:t>
      </w:r>
      <w:r>
        <w:rPr>
          <w:rFonts w:ascii="ARIAL" w:hAnsi="ARIAL"/>
          <w:sz w:val="22"/>
        </w:rPr>
        <w:t xml:space="preserve">. </w:t>
      </w:r>
    </w:p>
    <w:p>
      <w:pPr>
        <w:pStyle w:val="TextBody"/>
        <w:bidi w:val="0"/>
        <w:spacing w:before="240" w:after="0"/>
        <w:jc w:val="left"/>
        <w:rPr>
          <w:rFonts w:ascii="ARIAL" w:hAnsi="ARIAL"/>
          <w:b/>
          <w:color w:val="248EC3"/>
          <w:sz w:val="22"/>
        </w:rPr>
      </w:pPr>
      <w:r>
        <w:rPr>
          <w:rFonts w:ascii="ARIAL" w:hAnsi="ARIAL"/>
          <w:b/>
          <w:color w:val="248EC3"/>
          <w:sz w:val="22"/>
        </w:rPr>
        <w:t xml:space="preserve">CODE OF ETHICS </w:t>
      </w:r>
    </w:p>
    <w:p>
      <w:pPr>
        <w:pStyle w:val="TextBody"/>
        <w:bidi w:val="0"/>
        <w:spacing w:before="240" w:after="0"/>
        <w:jc w:val="both"/>
        <w:rPr>
          <w:rFonts w:ascii="ARIAL" w:hAnsi="ARIAL"/>
          <w:sz w:val="22"/>
        </w:rPr>
      </w:pPr>
      <w:r>
        <w:rPr>
          <w:rFonts w:ascii="ARIAL" w:hAnsi="ARIAL"/>
          <w:sz w:val="22"/>
        </w:rPr>
        <w:t xml:space="preserve">The Board has adopted a “Code of Ethics for Senior Financial Officers,” which is applicable to the Company’s senior financial officers, including the Company’s principal executive officer, principal financial officer, principal accounting officer and controller. The Company also has a separate “Code of Conduct” that is applicable to all Company employees, including each of the Company’s directors and officers. Both the Code of Ethics for Senior Financial Officers and the Code of Conduct are available under the “Corporate Governance”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link under the “Investors” tab on the Company’s website at </w:t>
      </w:r>
      <w:r>
        <w:rPr>
          <w:rFonts w:ascii="ARIAL" w:hAnsi="ARIAL"/>
          <w:i/>
          <w:sz w:val="22"/>
        </w:rPr>
        <w:t>www.newellbrands.com</w:t>
      </w:r>
      <w:r>
        <w:rPr>
          <w:rFonts w:ascii="ARIAL" w:hAnsi="ARIAL"/>
          <w:sz w:val="22"/>
        </w:rPr>
        <w:t xml:space="preserve">. The Company posts any amendments to or waivers of its Code of Ethics for Senior Financial Officers or to the Code of Conduct (to the extent applicable to the Company’s directors or executive officers) at the same location on the Company’s website. In addition, copies of the Code of Ethics for Senior Financial Officers and of the Code of Conduct may be obtained in print without charge upon written request by any stockholder to the office of the Corporate Secretary of the Company at 5 Concourse Parkway, NE, 8th Floor, Atlanta, Georgia 30328. </w:t>
      </w:r>
    </w:p>
    <w:p>
      <w:pPr>
        <w:pStyle w:val="TextBody"/>
        <w:bidi w:val="0"/>
        <w:spacing w:before="240" w:after="0"/>
        <w:jc w:val="center"/>
        <w:rPr>
          <w:rFonts w:ascii="ARIAL" w:hAnsi="ARIAL"/>
          <w:b/>
          <w:color w:val="248EC3"/>
          <w:sz w:val="22"/>
        </w:rPr>
      </w:pPr>
      <w:bookmarkStart w:id="7" w:name="toc52719_5"/>
      <w:bookmarkEnd w:id="7"/>
      <w:r>
        <w:rPr>
          <w:rFonts w:ascii="ARIAL" w:hAnsi="ARIAL"/>
          <w:b/>
          <w:color w:val="248EC3"/>
          <w:sz w:val="22"/>
        </w:rPr>
        <w:t xml:space="preserve">CERTAIN RELATIONSHIPS AND RELATED TRANSACTIONS </w:t>
      </w:r>
    </w:p>
    <w:p>
      <w:pPr>
        <w:pStyle w:val="TextBody"/>
        <w:bidi w:val="0"/>
        <w:spacing w:before="240" w:after="0"/>
        <w:jc w:val="both"/>
        <w:rPr>
          <w:rFonts w:ascii="ARIAL" w:hAnsi="ARIAL"/>
          <w:sz w:val="22"/>
        </w:rPr>
      </w:pPr>
      <w:r>
        <w:rPr>
          <w:rFonts w:ascii="ARIAL" w:hAnsi="ARIAL"/>
          <w:sz w:val="22"/>
        </w:rPr>
        <w:t xml:space="preserve">Various Company policies and procedures, which include the Code of Conduct (applicable to all Company employees, including executive officers and non-employee directors), the Code of Ethics for Senior Financial Officers and annual questionnaires completed by all Company directors and executive officers, require disclosure of transactions or relationships that may constitute conflicts of interest or otherwise require disclosure under applicable SEC rules. Pursuant to its charter, the Nominating/Governance Committee considers and makes recommendations to the Board with respect to possible waivers of conflicts of interest or any other provisions of the Code of Conduct and the Code of Ethics for Senior Financial Officers. Pursuant to the Corporate Governance Guidelines, the Nominating/Governance Committee also annually reviews the continuing independence of the Company’s non-employee directors under applicable law or Nasdaq rules and reports its findings to the Board in connection with its independence determinations. </w:t>
      </w:r>
    </w:p>
    <w:p>
      <w:pPr>
        <w:pStyle w:val="TextBody"/>
        <w:bidi w:val="0"/>
        <w:spacing w:before="240" w:after="0"/>
        <w:jc w:val="both"/>
        <w:rPr>
          <w:rFonts w:ascii="ARIAL" w:hAnsi="ARIAL"/>
          <w:sz w:val="22"/>
        </w:rPr>
      </w:pPr>
      <w:r>
        <w:rPr>
          <w:rFonts w:ascii="ARIAL" w:hAnsi="ARIAL"/>
          <w:sz w:val="22"/>
        </w:rPr>
        <w:t xml:space="preserve">When the Nominating/Governance Committee learns of a transaction or relationship that may constitute a conflict of interest or may cause a director not to be treated as independent, the Nominating/Governance Committee determines if further investigation is required and, if so, whether it should be conducted by the Company’s legal, internal audit or other staff or by outside advisors. The Nominating/Governance Committee reviews and evaluates the transaction or relationship, including the results of any investigation, and makes a recommendation to the Board with respect to whether a conflict or violation exists or will exist or whether a director’s independence is or would be impaired. The Board, excluding any director who is the subject of the recommendation, receives the report of the Nominating/Governance Committee and makes the relevant determination. These practices are flexible and are not required by any document. </w:t>
      </w:r>
    </w:p>
    <w:p>
      <w:pPr>
        <w:pStyle w:val="TextBody"/>
        <w:bidi w:val="0"/>
        <w:spacing w:before="240" w:after="0"/>
        <w:jc w:val="center"/>
        <w:rPr>
          <w:rFonts w:ascii="ARIAL" w:hAnsi="ARIAL"/>
          <w:b/>
          <w:color w:val="248EC3"/>
          <w:sz w:val="22"/>
        </w:rPr>
      </w:pPr>
      <w:bookmarkStart w:id="8" w:name="toc52719_6"/>
      <w:bookmarkEnd w:id="8"/>
      <w:r>
        <w:rPr>
          <w:rFonts w:ascii="ARIAL" w:hAnsi="ARIAL"/>
          <w:b/>
          <w:color w:val="248EC3"/>
          <w:sz w:val="22"/>
        </w:rPr>
        <w:t xml:space="preserve">COMPENSATION COMMITTEE INTERLOCKS AND INSIDER PARTICIPATION </w:t>
      </w:r>
    </w:p>
    <w:p>
      <w:pPr>
        <w:pStyle w:val="TextBody"/>
        <w:bidi w:val="0"/>
        <w:spacing w:before="240" w:after="0"/>
        <w:jc w:val="both"/>
        <w:rPr>
          <w:rFonts w:ascii="ARIAL" w:hAnsi="ARIAL"/>
          <w:sz w:val="22"/>
        </w:rPr>
      </w:pPr>
      <w:r>
        <w:rPr>
          <w:rFonts w:ascii="ARIAL" w:hAnsi="ARIAL"/>
          <w:sz w:val="22"/>
        </w:rPr>
        <w:t xml:space="preserve">During 2025, Messrs. Keane, Campbell and Pilnick and Mses. Ryan Berman and Stahl served on the Compensation and Human Capital Committee. No member of the Compensation and Human Capital Committee was, during 2025, an officer or employee of the Company or any of its subsidiaries, formerly an officer of the Company or had any relationship requiring disclosure by the Company as a related party transaction under Item 404 of Regulation S-K. During 2025, none of the Company’s executive officers served on the board or the compensation committee of any other entity having officers that served on either the Company’s Board or the Compensation and Human Capital Committee.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248EC3"/>
          <w:sz w:val="22"/>
        </w:rPr>
      </w:pPr>
      <w:bookmarkStart w:id="9" w:name="toc52719_7"/>
      <w:bookmarkEnd w:id="9"/>
      <w:r>
        <w:rPr>
          <w:rFonts w:ascii="ARIAL" w:hAnsi="ARIAL"/>
          <w:b/>
          <w:color w:val="248EC3"/>
          <w:sz w:val="22"/>
        </w:rPr>
        <w:t xml:space="preserve">COMPENSATION AND HUMAN CAPITAL COMMITTEE REPORT </w:t>
      </w:r>
    </w:p>
    <w:p>
      <w:pPr>
        <w:pStyle w:val="TextBody"/>
        <w:bidi w:val="0"/>
        <w:spacing w:before="240" w:after="0"/>
        <w:jc w:val="both"/>
        <w:rPr>
          <w:rFonts w:ascii="ARIAL" w:hAnsi="ARIAL"/>
          <w:sz w:val="22"/>
        </w:rPr>
      </w:pPr>
      <w:r>
        <w:rPr>
          <w:rFonts w:ascii="ARIAL" w:hAnsi="ARIAL"/>
          <w:sz w:val="22"/>
        </w:rPr>
        <w:t>The Compensation and Human Capital Committee (the “</w:t>
      </w:r>
      <w:r>
        <w:rPr>
          <w:rFonts w:ascii="ARIAL" w:hAnsi="ARIAL"/>
          <w:b/>
          <w:sz w:val="22"/>
        </w:rPr>
        <w:t>Committee</w:t>
      </w:r>
      <w:r>
        <w:rPr>
          <w:rFonts w:ascii="ARIAL" w:hAnsi="ARIAL"/>
          <w:sz w:val="22"/>
        </w:rPr>
        <w:t xml:space="preserve">”) has furnished the following report to the stockholders of the Company in accordance with rules adopted by the U.S. Securities and Exchange Commission. </w:t>
      </w:r>
    </w:p>
    <w:p>
      <w:pPr>
        <w:pStyle w:val="TextBody"/>
        <w:bidi w:val="0"/>
        <w:spacing w:before="240" w:after="0"/>
        <w:jc w:val="both"/>
        <w:rPr>
          <w:rFonts w:ascii="ARIAL" w:hAnsi="ARIAL"/>
          <w:sz w:val="22"/>
        </w:rPr>
      </w:pPr>
      <w:r>
        <w:rPr>
          <w:rFonts w:ascii="ARIAL" w:hAnsi="ARIAL"/>
          <w:sz w:val="22"/>
        </w:rPr>
        <w:t xml:space="preserve">The Committee states that it reviewed and discussed with management the Company’s Compensation Discussion and Analysis contained in this Proxy Statement. </w:t>
      </w:r>
    </w:p>
    <w:p>
      <w:pPr>
        <w:pStyle w:val="TextBody"/>
        <w:bidi w:val="0"/>
        <w:spacing w:before="240" w:after="0"/>
        <w:jc w:val="both"/>
        <w:rPr>
          <w:rFonts w:ascii="ARIAL" w:hAnsi="ARIAL"/>
          <w:sz w:val="22"/>
        </w:rPr>
      </w:pPr>
      <w:r>
        <w:rPr>
          <w:rFonts w:ascii="ARIAL" w:hAnsi="ARIAL"/>
          <w:sz w:val="22"/>
        </w:rPr>
        <w:t xml:space="preserve">Based upon the review and discussions referred to above, the Committee recommended to the Board that the Company’s Compensation Discussion and Analysis be included in this Proxy Statement and in the Company’s Annual Report on Form 10-K for the fiscal year ended December 31, 2025. </w:t>
      </w:r>
    </w:p>
    <w:p>
      <w:pPr>
        <w:pStyle w:val="TextBody"/>
        <w:bidi w:val="0"/>
        <w:spacing w:before="240" w:after="0"/>
        <w:jc w:val="both"/>
        <w:rPr>
          <w:rFonts w:ascii="ARIAL" w:hAnsi="ARIAL"/>
          <w:sz w:val="22"/>
        </w:rPr>
      </w:pPr>
      <w:r>
        <w:rPr>
          <w:rFonts w:ascii="ARIAL" w:hAnsi="ARIAL"/>
          <w:sz w:val="22"/>
        </w:rPr>
        <w:t xml:space="preserve">This report is submitted on behalf of the following members of the Committee: </w:t>
      </w:r>
    </w:p>
    <w:p>
      <w:pPr>
        <w:pStyle w:val="TextBody"/>
        <w:bidi w:val="0"/>
        <w:spacing w:before="240" w:after="0"/>
        <w:jc w:val="center"/>
        <w:rPr>
          <w:rFonts w:ascii="ARIAL" w:hAnsi="ARIAL"/>
          <w:sz w:val="22"/>
        </w:rPr>
      </w:pPr>
      <w:r>
        <w:rPr>
          <w:rFonts w:ascii="ARIAL" w:hAnsi="ARIAL"/>
          <w:sz w:val="22"/>
        </w:rPr>
        <w:t xml:space="preserve">James P. Keane, Chair </w:t>
      </w:r>
    </w:p>
    <w:p>
      <w:pPr>
        <w:pStyle w:val="TextBody"/>
        <w:bidi w:val="0"/>
        <w:spacing w:before="0" w:after="0"/>
        <w:jc w:val="center"/>
        <w:rPr>
          <w:rFonts w:ascii="ARIAL" w:hAnsi="ARIAL"/>
          <w:sz w:val="22"/>
        </w:rPr>
      </w:pPr>
      <w:r>
        <w:rPr>
          <w:rFonts w:ascii="ARIAL" w:hAnsi="ARIAL"/>
          <w:sz w:val="22"/>
        </w:rPr>
        <w:t xml:space="preserve">Patrick D. Campbell </w:t>
      </w:r>
    </w:p>
    <w:p>
      <w:pPr>
        <w:pStyle w:val="TextBody"/>
        <w:bidi w:val="0"/>
        <w:spacing w:before="0" w:after="0"/>
        <w:jc w:val="center"/>
        <w:rPr>
          <w:rFonts w:ascii="ARIAL" w:hAnsi="ARIAL"/>
          <w:sz w:val="22"/>
        </w:rPr>
      </w:pPr>
      <w:r>
        <w:rPr>
          <w:rFonts w:ascii="ARIAL" w:hAnsi="ARIAL"/>
          <w:sz w:val="22"/>
        </w:rPr>
        <w:t xml:space="preserve">Gary H. Pilnick </w:t>
      </w:r>
    </w:p>
    <w:p>
      <w:pPr>
        <w:pStyle w:val="TextBody"/>
        <w:bidi w:val="0"/>
        <w:spacing w:before="0" w:after="0"/>
        <w:jc w:val="center"/>
        <w:rPr>
          <w:rFonts w:ascii="ARIAL" w:hAnsi="ARIAL"/>
          <w:sz w:val="22"/>
        </w:rPr>
      </w:pPr>
      <w:r>
        <w:rPr>
          <w:rFonts w:ascii="ARIAL" w:hAnsi="ARIAL"/>
          <w:sz w:val="22"/>
        </w:rPr>
        <w:t xml:space="preserve">Stephanie P. Stahl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248EC3"/>
          <w:sz w:val="22"/>
        </w:rPr>
      </w:pPr>
      <w:bookmarkStart w:id="10" w:name="toc52719_8"/>
      <w:bookmarkEnd w:id="10"/>
      <w:r>
        <w:rPr>
          <w:rFonts w:ascii="ARIAL" w:hAnsi="ARIAL"/>
          <w:b/>
          <w:color w:val="248EC3"/>
          <w:sz w:val="22"/>
        </w:rPr>
        <w:t xml:space="preserve">EXECUTIVE COMPENSATION </w:t>
      </w:r>
    </w:p>
    <w:p>
      <w:pPr>
        <w:pStyle w:val="TextBody"/>
        <w:bidi w:val="0"/>
        <w:spacing w:before="240" w:after="0"/>
        <w:jc w:val="left"/>
        <w:rPr>
          <w:rFonts w:ascii="ARIAL" w:hAnsi="ARIAL"/>
          <w:b/>
          <w:color w:val="248EC3"/>
          <w:sz w:val="22"/>
        </w:rPr>
      </w:pPr>
      <w:r>
        <w:rPr>
          <w:rFonts w:ascii="ARIAL" w:hAnsi="ARIAL"/>
          <w:b/>
          <w:color w:val="248EC3"/>
          <w:sz w:val="22"/>
        </w:rPr>
        <w:t xml:space="preserve">COMPENSATION DISCUSSION AND ANALYSIS </w:t>
      </w:r>
    </w:p>
    <w:p>
      <w:pPr>
        <w:pStyle w:val="TextBody"/>
        <w:bidi w:val="0"/>
        <w:spacing w:before="240" w:after="0"/>
        <w:jc w:val="both"/>
        <w:rPr>
          <w:rFonts w:ascii="ARIAL" w:hAnsi="ARIAL"/>
          <w:sz w:val="22"/>
        </w:rPr>
      </w:pPr>
      <w:r>
        <w:rPr>
          <w:rFonts w:ascii="ARIAL" w:hAnsi="ARIAL"/>
          <w:sz w:val="22"/>
        </w:rPr>
        <w:t>This Compensation Discussion and Analysis (the “</w:t>
      </w:r>
      <w:r>
        <w:rPr>
          <w:rFonts w:ascii="ARIAL" w:hAnsi="ARIAL"/>
          <w:b/>
          <w:sz w:val="22"/>
        </w:rPr>
        <w:t>CD&amp;A</w:t>
      </w:r>
      <w:r>
        <w:rPr>
          <w:rFonts w:ascii="ARIAL" w:hAnsi="ARIAL"/>
          <w:sz w:val="22"/>
        </w:rPr>
        <w:t>”) explains the material elements of the compensation of the Company’s named executive officers and describes the objectives and principles underlying the Company’s executive compensation program and decisions made in 2025. During 2025, our named executive officers (“</w:t>
      </w:r>
      <w:r>
        <w:rPr>
          <w:rFonts w:ascii="ARIAL" w:hAnsi="ARIAL"/>
          <w:b/>
          <w:sz w:val="22"/>
        </w:rPr>
        <w:t>NEOs</w:t>
      </w:r>
      <w:r>
        <w:rPr>
          <w:rFonts w:ascii="ARIAL" w:hAnsi="ARIAL"/>
          <w:sz w:val="22"/>
        </w:rPr>
        <w:t xml:space="preserve">”) were: </w:t>
      </w:r>
    </w:p>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2630"/>
        <w:gridCol w:w="120"/>
        <w:gridCol w:w="6230"/>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30" w:type="dxa"/>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tcMar>
              <w:bottom w:w="40" w:type="dxa"/>
            </w:tcMar>
            <w:vAlign w:val="center"/>
          </w:tcPr>
          <w:p>
            <w:pPr>
              <w:pStyle w:val="TableContents"/>
              <w:bidi w:val="0"/>
              <w:spacing w:before="0" w:after="0"/>
              <w:jc w:val="left"/>
              <w:rPr>
                <w:rFonts w:ascii="ARIAL" w:hAnsi="ARIAL"/>
                <w:b/>
                <w:sz w:val="22"/>
              </w:rPr>
            </w:pPr>
            <w:r>
              <w:rPr>
                <w:rFonts w:ascii="ARIAL" w:hAnsi="ARIAL"/>
                <w:b/>
                <w:sz w:val="22"/>
              </w:rPr>
              <w:t>Named Executive Officer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30" w:type="dxa"/>
            <w:tcBorders>
              <w:bottom w:val="single" w:sz="6" w:space="0" w:color="000000"/>
            </w:tcBorders>
            <w:tcMar>
              <w:bottom w:w="40" w:type="dxa"/>
            </w:tcMar>
            <w:vAlign w:val="center"/>
          </w:tcPr>
          <w:p>
            <w:pPr>
              <w:pStyle w:val="TableContents"/>
              <w:bidi w:val="0"/>
              <w:spacing w:before="0" w:after="283"/>
              <w:jc w:val="center"/>
              <w:rPr>
                <w:b/>
              </w:rPr>
            </w:pPr>
            <w:r>
              <w:rPr>
                <w:b/>
              </w:rPr>
              <w:t>Title</w:t>
            </w:r>
          </w:p>
        </w:tc>
      </w:tr>
      <w:tr>
        <w:trPr/>
        <w:tc>
          <w:tcPr>
            <w:tcW w:w="263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D5EBF6" w:val="clear"/>
            <w:vAlign w:val="center"/>
          </w:tcPr>
          <w:p>
            <w:pPr>
              <w:pStyle w:val="TableContents"/>
              <w:bidi w:val="0"/>
              <w:spacing w:before="0" w:after="283"/>
              <w:jc w:val="left"/>
              <w:rPr>
                <w:sz w:val="4"/>
                <w:szCs w:val="4"/>
              </w:rPr>
            </w:pPr>
            <w:r>
              <w:rPr>
                <w:sz w:val="4"/>
                <w:szCs w:val="4"/>
              </w:rPr>
            </w:r>
          </w:p>
        </w:tc>
        <w:tc>
          <w:tcPr>
            <w:tcW w:w="63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30" w:type="dxa"/>
            <w:tcBorders/>
            <w:shd w:fill="D5EBF6" w:val="clear"/>
            <w:vAlign w:val="center"/>
          </w:tcPr>
          <w:p>
            <w:pPr>
              <w:pStyle w:val="TableContents"/>
              <w:bidi w:val="0"/>
              <w:spacing w:before="0" w:after="0"/>
              <w:jc w:val="left"/>
              <w:rPr>
                <w:rFonts w:ascii="ARIAL" w:hAnsi="ARIAL"/>
                <w:sz w:val="22"/>
              </w:rPr>
            </w:pPr>
            <w:r>
              <w:rPr>
                <w:rFonts w:ascii="ARIAL" w:hAnsi="ARIAL"/>
                <w:sz w:val="22"/>
              </w:rPr>
              <w:t>Christopher H. Peterson</w:t>
            </w:r>
          </w:p>
        </w:tc>
        <w:tc>
          <w:tcPr>
            <w:tcW w:w="120" w:type="dxa"/>
            <w:tcBorders/>
            <w:shd w:fill="D5EBF6" w:val="clear"/>
            <w:vAlign w:val="center"/>
          </w:tcPr>
          <w:p>
            <w:pPr>
              <w:pStyle w:val="TableContents"/>
              <w:bidi w:val="0"/>
              <w:spacing w:before="0" w:after="283"/>
              <w:jc w:val="left"/>
              <w:rPr/>
            </w:pPr>
            <w:r>
              <w:rPr/>
              <w:t>  </w:t>
            </w:r>
          </w:p>
        </w:tc>
        <w:tc>
          <w:tcPr>
            <w:tcW w:w="6230" w:type="dxa"/>
            <w:tcBorders/>
            <w:shd w:fill="D5EBF6" w:val="clear"/>
            <w:vAlign w:val="center"/>
          </w:tcPr>
          <w:p>
            <w:pPr>
              <w:pStyle w:val="TableContents"/>
              <w:bidi w:val="0"/>
              <w:spacing w:before="0" w:after="283"/>
              <w:jc w:val="center"/>
              <w:rPr/>
            </w:pPr>
            <w:r>
              <w:rPr/>
              <w:t>President and Chief Executive Officer (“</w:t>
            </w:r>
            <w:r>
              <w:rPr>
                <w:b/>
              </w:rPr>
              <w:t>CEO</w:t>
            </w:r>
            <w:r>
              <w:rPr/>
              <w:t>”)</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sz w:val="22"/>
              </w:rPr>
            </w:pPr>
            <w:r>
              <w:rPr>
                <w:rFonts w:ascii="ARIAL" w:hAnsi="ARIAL"/>
                <w:sz w:val="22"/>
              </w:rPr>
              <w:t>Mark J. Erceg</w:t>
            </w:r>
          </w:p>
        </w:tc>
        <w:tc>
          <w:tcPr>
            <w:tcW w:w="12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center"/>
              <w:rPr/>
            </w:pPr>
            <w:r>
              <w:rPr/>
              <w:t>Chief Financial Officer (“</w:t>
            </w:r>
            <w:r>
              <w:rPr>
                <w:b/>
              </w:rPr>
              <w:t>CFO</w:t>
            </w:r>
            <w:r>
              <w:rPr/>
              <w:t>”)</w:t>
            </w:r>
          </w:p>
        </w:tc>
      </w:tr>
      <w:tr>
        <w:trPr/>
        <w:tc>
          <w:tcPr>
            <w:tcW w:w="2630" w:type="dxa"/>
            <w:tcBorders/>
            <w:shd w:fill="D5EBF6" w:val="clear"/>
            <w:vAlign w:val="center"/>
          </w:tcPr>
          <w:p>
            <w:pPr>
              <w:pStyle w:val="TableContents"/>
              <w:bidi w:val="0"/>
              <w:spacing w:before="0" w:after="283"/>
              <w:jc w:val="left"/>
              <w:rPr>
                <w:sz w:val="4"/>
                <w:szCs w:val="4"/>
              </w:rPr>
            </w:pPr>
            <w:r>
              <w:rPr>
                <w:sz w:val="4"/>
                <w:szCs w:val="4"/>
              </w:rPr>
            </w:r>
          </w:p>
        </w:tc>
        <w:tc>
          <w:tcPr>
            <w:tcW w:w="63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30" w:type="dxa"/>
            <w:tcBorders/>
            <w:shd w:fill="D5EBF6" w:val="clear"/>
            <w:vAlign w:val="center"/>
          </w:tcPr>
          <w:p>
            <w:pPr>
              <w:pStyle w:val="TableContents"/>
              <w:bidi w:val="0"/>
              <w:spacing w:before="0" w:after="0"/>
              <w:jc w:val="left"/>
              <w:rPr>
                <w:rFonts w:ascii="ARIAL" w:hAnsi="ARIAL"/>
                <w:sz w:val="22"/>
              </w:rPr>
            </w:pPr>
            <w:r>
              <w:rPr>
                <w:rFonts w:ascii="ARIAL" w:hAnsi="ARIAL"/>
                <w:sz w:val="22"/>
              </w:rPr>
              <w:t>Bradford R. Turner</w:t>
            </w:r>
          </w:p>
        </w:tc>
        <w:tc>
          <w:tcPr>
            <w:tcW w:w="120" w:type="dxa"/>
            <w:tcBorders/>
            <w:shd w:fill="D5EBF6" w:val="clear"/>
            <w:vAlign w:val="center"/>
          </w:tcPr>
          <w:p>
            <w:pPr>
              <w:pStyle w:val="TableContents"/>
              <w:bidi w:val="0"/>
              <w:spacing w:before="0" w:after="283"/>
              <w:jc w:val="left"/>
              <w:rPr/>
            </w:pPr>
            <w:r>
              <w:rPr/>
              <w:t>  </w:t>
            </w:r>
          </w:p>
        </w:tc>
        <w:tc>
          <w:tcPr>
            <w:tcW w:w="6230" w:type="dxa"/>
            <w:tcBorders/>
            <w:shd w:fill="D5EBF6" w:val="clear"/>
            <w:vAlign w:val="center"/>
          </w:tcPr>
          <w:p>
            <w:pPr>
              <w:pStyle w:val="TableContents"/>
              <w:bidi w:val="0"/>
              <w:spacing w:before="0" w:after="283"/>
              <w:jc w:val="center"/>
              <w:rPr/>
            </w:pPr>
            <w:r>
              <w:rPr/>
              <w:t>Chief Legal and Administrative Officer and Corporate Secretary 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sz w:val="22"/>
              </w:rPr>
            </w:pPr>
            <w:r>
              <w:rPr>
                <w:rFonts w:ascii="ARIAL" w:hAnsi="ARIAL"/>
                <w:sz w:val="22"/>
              </w:rPr>
              <w:t>Tracy L. Platt</w:t>
            </w:r>
          </w:p>
        </w:tc>
        <w:tc>
          <w:tcPr>
            <w:tcW w:w="12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center"/>
              <w:rPr/>
            </w:pPr>
            <w:r>
              <w:rPr/>
              <w:t>Chief Human Resources Officer</w:t>
            </w:r>
          </w:p>
        </w:tc>
      </w:tr>
      <w:tr>
        <w:trPr/>
        <w:tc>
          <w:tcPr>
            <w:tcW w:w="2630" w:type="dxa"/>
            <w:tcBorders/>
            <w:shd w:fill="D5EBF6" w:val="clear"/>
            <w:vAlign w:val="center"/>
          </w:tcPr>
          <w:p>
            <w:pPr>
              <w:pStyle w:val="TableContents"/>
              <w:bidi w:val="0"/>
              <w:spacing w:before="0" w:after="283"/>
              <w:jc w:val="left"/>
              <w:rPr>
                <w:sz w:val="4"/>
                <w:szCs w:val="4"/>
              </w:rPr>
            </w:pPr>
            <w:r>
              <w:rPr>
                <w:sz w:val="4"/>
                <w:szCs w:val="4"/>
              </w:rPr>
            </w:r>
          </w:p>
        </w:tc>
        <w:tc>
          <w:tcPr>
            <w:tcW w:w="63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30" w:type="dxa"/>
            <w:tcBorders/>
            <w:shd w:fill="D5EBF6" w:val="clear"/>
            <w:vAlign w:val="center"/>
          </w:tcPr>
          <w:p>
            <w:pPr>
              <w:pStyle w:val="TableContents"/>
              <w:bidi w:val="0"/>
              <w:spacing w:before="0" w:after="0"/>
              <w:jc w:val="left"/>
              <w:rPr>
                <w:rFonts w:ascii="ARIAL" w:hAnsi="ARIAL"/>
                <w:sz w:val="22"/>
              </w:rPr>
            </w:pPr>
            <w:r>
              <w:rPr>
                <w:rFonts w:ascii="ARIAL" w:hAnsi="ARIAL"/>
                <w:sz w:val="22"/>
              </w:rPr>
              <w:t>Kristine K. Malkoski</w:t>
            </w:r>
          </w:p>
        </w:tc>
        <w:tc>
          <w:tcPr>
            <w:tcW w:w="120" w:type="dxa"/>
            <w:tcBorders/>
            <w:shd w:fill="D5EBF6" w:val="clear"/>
            <w:vAlign w:val="center"/>
          </w:tcPr>
          <w:p>
            <w:pPr>
              <w:pStyle w:val="TableContents"/>
              <w:bidi w:val="0"/>
              <w:spacing w:before="0" w:after="283"/>
              <w:jc w:val="left"/>
              <w:rPr/>
            </w:pPr>
            <w:r>
              <w:rPr/>
              <w:t>  </w:t>
            </w:r>
          </w:p>
        </w:tc>
        <w:tc>
          <w:tcPr>
            <w:tcW w:w="6230" w:type="dxa"/>
            <w:tcBorders/>
            <w:shd w:fill="D5EBF6" w:val="clear"/>
            <w:vAlign w:val="center"/>
          </w:tcPr>
          <w:p>
            <w:pPr>
              <w:pStyle w:val="TableContents"/>
              <w:bidi w:val="0"/>
              <w:spacing w:before="0" w:after="283"/>
              <w:jc w:val="center"/>
              <w:rPr/>
            </w:pPr>
            <w:r>
              <w:rPr/>
              <w:t>President, Learning and Development (1)</w:t>
            </w:r>
          </w:p>
        </w:tc>
      </w:tr>
      <w:tr>
        <w:trPr/>
        <w:tc>
          <w:tcPr>
            <w:tcW w:w="263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3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30"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r>
              <w:rPr/>
              <w:t>(1)</w:t>
            </w:r>
          </w:p>
        </w:tc>
        <w:tc>
          <w:tcPr>
            <w:tcW w:w="9802" w:type="dxa"/>
            <w:tcBorders/>
            <w:vAlign w:val="center"/>
          </w:tcPr>
          <w:p>
            <w:pPr>
              <w:pStyle w:val="TableContents"/>
              <w:bidi w:val="0"/>
              <w:spacing w:before="0" w:after="0"/>
              <w:jc w:val="both"/>
              <w:rPr>
                <w:rFonts w:ascii="ARIAL" w:hAnsi="ARIAL"/>
                <w:sz w:val="18"/>
              </w:rPr>
            </w:pPr>
            <w:r>
              <w:rPr>
                <w:rFonts w:ascii="ARIAL" w:hAnsi="ARIAL"/>
                <w:sz w:val="18"/>
              </w:rPr>
              <w:t xml:space="preserve">Ms. Malkoski served as Segment CEO, Learning and Development until August 2025, at which time her title was changed to President, Learning and Development. </w:t>
            </w:r>
          </w:p>
        </w:tc>
      </w:tr>
    </w:tbl>
    <w:p>
      <w:pPr>
        <w:pStyle w:val="TextBody"/>
        <w:bidi w:val="0"/>
        <w:spacing w:before="360" w:after="0"/>
        <w:jc w:val="left"/>
        <w:rPr>
          <w:rFonts w:ascii="ARIAL" w:hAnsi="ARIAL"/>
          <w:b/>
          <w:i/>
          <w:color w:val="248EC3"/>
          <w:sz w:val="22"/>
        </w:rPr>
      </w:pPr>
      <w:r>
        <w:rPr>
          <w:rFonts w:ascii="ARIAL" w:hAnsi="ARIAL"/>
          <w:b/>
          <w:i/>
          <w:color w:val="248EC3"/>
          <w:sz w:val="22"/>
        </w:rPr>
        <w:t xml:space="preserve">Pay and Performance Alignment </w:t>
      </w:r>
    </w:p>
    <w:p>
      <w:pPr>
        <w:pStyle w:val="TextBody"/>
        <w:bidi w:val="0"/>
        <w:spacing w:before="120" w:after="0"/>
        <w:jc w:val="both"/>
        <w:rPr>
          <w:rFonts w:ascii="ARIAL" w:hAnsi="ARIAL"/>
          <w:sz w:val="22"/>
        </w:rPr>
      </w:pPr>
      <w:r>
        <w:rPr>
          <w:rFonts w:ascii="ARIAL" w:hAnsi="ARIAL"/>
          <w:sz w:val="22"/>
        </w:rPr>
        <w:t xml:space="preserve">2025 was a challenging year for the Company as we continued to execute our multi-year turnaround strategy amid new challenges in the macro-economic and geo-political environment. Despite these challenges, we delivered the following key performance highlights in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Increased full-year </w:t>
            </w:r>
            <w:r>
              <w:rPr>
                <w:rFonts w:ascii="ARIAL" w:hAnsi="ARIAL"/>
                <w:b/>
                <w:sz w:val="22"/>
              </w:rPr>
              <w:t>Gross Margin</w:t>
            </w:r>
            <w:r>
              <w:rPr>
                <w:rFonts w:ascii="ARIAL" w:hAnsi="ARIAL"/>
                <w:sz w:val="22"/>
              </w:rPr>
              <w:t xml:space="preserve"> versus prior year, despite the negative impact of approximately $114 million of unbudgeted tariff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Improved </w:t>
            </w:r>
            <w:r>
              <w:rPr>
                <w:rFonts w:ascii="ARIAL" w:hAnsi="ARIAL"/>
                <w:b/>
                <w:sz w:val="22"/>
              </w:rPr>
              <w:t>Weighted Forecast Accuracy</w:t>
            </w:r>
            <w:r>
              <w:rPr>
                <w:rFonts w:ascii="ARIAL" w:hAnsi="ARIAL"/>
                <w:sz w:val="22"/>
              </w:rPr>
              <w:t xml:space="preserve"> (“</w:t>
            </w:r>
            <w:r>
              <w:rPr>
                <w:rFonts w:ascii="ARIAL" w:hAnsi="ARIAL"/>
                <w:b/>
                <w:sz w:val="22"/>
              </w:rPr>
              <w:t>WFA</w:t>
            </w:r>
            <w:r>
              <w:rPr>
                <w:rFonts w:ascii="ARIAL" w:hAnsi="ARIAL"/>
                <w:sz w:val="22"/>
              </w:rPr>
              <w:t xml:space="preserve">”) by more than three percentage points versus prior year, contributing to higher customer global fill-rate performance;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70"/>
        <w:gridCol w:w="6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both"/>
              <w:rPr>
                <w:rFonts w:ascii="ARIAL" w:hAnsi="ARIAL"/>
                <w:sz w:val="22"/>
              </w:rPr>
            </w:pPr>
            <w:r>
              <w:rPr>
                <w:rFonts w:ascii="ARIAL" w:hAnsi="ARIAL"/>
                <w:sz w:val="22"/>
              </w:rPr>
              <w:t xml:space="preserve">Achieved </w:t>
            </w:r>
            <w:r>
              <w:rPr>
                <w:rFonts w:ascii="ARIAL" w:hAnsi="ARIAL"/>
                <w:b/>
                <w:sz w:val="22"/>
              </w:rPr>
              <w:t>FUEL Productivity</w:t>
            </w:r>
            <w:r>
              <w:rPr>
                <w:rFonts w:ascii="ARIAL" w:hAnsi="ARIAL"/>
                <w:sz w:val="22"/>
              </w:rPr>
              <w:t xml:space="preserve"> savings ahead of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Reduced </w:t>
            </w:r>
            <w:r>
              <w:rPr>
                <w:rFonts w:ascii="ARIAL" w:hAnsi="ARIAL"/>
                <w:b/>
                <w:sz w:val="22"/>
              </w:rPr>
              <w:t>Inventory</w:t>
            </w:r>
            <w:r>
              <w:rPr>
                <w:rFonts w:ascii="ARIAL" w:hAnsi="ARIAL"/>
                <w:sz w:val="22"/>
              </w:rPr>
              <w:t xml:space="preserve"> by $120 million, despite higher inventory values due to tariffs, to help offset the negative impact of significant unbudgeted cash tariff costs during the year. </w:t>
            </w:r>
          </w:p>
        </w:tc>
      </w:tr>
    </w:tbl>
    <w:p>
      <w:pPr>
        <w:pStyle w:val="TextBody"/>
        <w:bidi w:val="0"/>
        <w:spacing w:before="240" w:after="0"/>
        <w:jc w:val="both"/>
        <w:rPr>
          <w:rFonts w:ascii="ARIAL" w:hAnsi="ARIAL"/>
          <w:sz w:val="22"/>
        </w:rPr>
      </w:pPr>
      <w:r>
        <w:rPr>
          <w:rFonts w:ascii="ARIAL" w:hAnsi="ARIAL"/>
          <w:sz w:val="22"/>
        </w:rPr>
        <w:t xml:space="preserve">Despite these achievements, we performed below plan targets on </w:t>
      </w:r>
      <w:r>
        <w:rPr>
          <w:rFonts w:ascii="ARIAL" w:hAnsi="ARIAL"/>
          <w:b/>
          <w:sz w:val="22"/>
        </w:rPr>
        <w:t>Adjusted Operating Cash Flow</w:t>
      </w:r>
      <w:r>
        <w:rPr>
          <w:rFonts w:ascii="ARIAL" w:hAnsi="ARIAL"/>
          <w:sz w:val="22"/>
        </w:rPr>
        <w:t xml:space="preserve">, </w:t>
      </w:r>
      <w:r>
        <w:rPr>
          <w:rFonts w:ascii="ARIAL" w:hAnsi="ARIAL"/>
          <w:b/>
          <w:sz w:val="22"/>
        </w:rPr>
        <w:t>Adjusted EPS</w:t>
      </w:r>
      <w:r>
        <w:rPr>
          <w:rFonts w:ascii="ARIAL" w:hAnsi="ARIAL"/>
          <w:sz w:val="22"/>
        </w:rPr>
        <w:t xml:space="preserve">, and </w:t>
      </w:r>
      <w:r>
        <w:rPr>
          <w:rFonts w:ascii="ARIAL" w:hAnsi="ARIAL"/>
          <w:b/>
          <w:sz w:val="22"/>
        </w:rPr>
        <w:t>Core Sales Growth</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These Company performance results contributed or translated to the following executive pay results for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The Company’s Management Bonus Plan (the “</w:t>
            </w:r>
            <w:r>
              <w:rPr>
                <w:rFonts w:ascii="ARIAL" w:hAnsi="ARIAL"/>
                <w:b/>
                <w:sz w:val="22"/>
              </w:rPr>
              <w:t>Bonus Plan</w:t>
            </w:r>
            <w:r>
              <w:rPr>
                <w:rFonts w:ascii="ARIAL" w:hAnsi="ARIAL"/>
                <w:sz w:val="22"/>
              </w:rPr>
              <w:t xml:space="preserve">”) paid out at </w:t>
            </w:r>
            <w:r>
              <w:rPr>
                <w:rFonts w:ascii="ARIAL" w:hAnsi="ARIAL"/>
                <w:b/>
                <w:sz w:val="22"/>
              </w:rPr>
              <w:t>80% of target</w:t>
            </w:r>
            <w:r>
              <w:rPr>
                <w:rFonts w:ascii="ARIAL" w:hAnsi="ARIAL"/>
                <w:sz w:val="22"/>
              </w:rPr>
              <w:t xml:space="preserve"> for Messrs. Peterson, Erceg and Turner and Ms. Platt; and at </w:t>
            </w:r>
            <w:r>
              <w:rPr>
                <w:rFonts w:ascii="ARIAL" w:hAnsi="ARIAL"/>
                <w:b/>
                <w:sz w:val="22"/>
              </w:rPr>
              <w:t>114% of target</w:t>
            </w:r>
            <w:r>
              <w:rPr>
                <w:rFonts w:ascii="ARIAL" w:hAnsi="ARIAL"/>
                <w:sz w:val="22"/>
              </w:rPr>
              <w:t xml:space="preserve"> for Ms. Malkoski (based in part on Segment performance results).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The Performance-Based Restricted Stock Units (“</w:t>
            </w:r>
            <w:r>
              <w:rPr>
                <w:rFonts w:ascii="ARIAL" w:hAnsi="ARIAL"/>
                <w:b/>
                <w:sz w:val="22"/>
              </w:rPr>
              <w:t>PRSUs</w:t>
            </w:r>
            <w:r>
              <w:rPr>
                <w:rFonts w:ascii="ARIAL" w:hAnsi="ARIAL"/>
                <w:sz w:val="22"/>
              </w:rPr>
              <w:t>”) granted pursuant to the Company’s Long-Term Incentive Plan (“</w:t>
            </w:r>
            <w:r>
              <w:rPr>
                <w:rFonts w:ascii="ARIAL" w:hAnsi="ARIAL"/>
                <w:b/>
                <w:sz w:val="22"/>
              </w:rPr>
              <w:t>LTIP</w:t>
            </w:r>
            <w:r>
              <w:rPr>
                <w:rFonts w:ascii="ARIAL" w:hAnsi="ARIAL"/>
                <w:sz w:val="22"/>
              </w:rPr>
              <w:t xml:space="preserve">”) in 2023 were or will be earned at </w:t>
            </w:r>
            <w:r>
              <w:rPr>
                <w:rFonts w:ascii="ARIAL" w:hAnsi="ARIAL"/>
                <w:b/>
                <w:sz w:val="22"/>
              </w:rPr>
              <w:t>93.8% of target</w:t>
            </w:r>
            <w:r>
              <w:rPr>
                <w:rFonts w:ascii="ARIAL" w:hAnsi="ARIAL"/>
                <w:sz w:val="22"/>
              </w:rPr>
              <w:t xml:space="preserve"> upon vesting in 2026.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019675" cy="14001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019675" cy="14001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43375" cy="14382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143375" cy="1438275"/>
                    </a:xfrm>
                    <a:prstGeom prst="rect">
                      <a:avLst/>
                    </a:prstGeom>
                  </pic:spPr>
                </pic:pic>
              </a:graphicData>
            </a:graphic>
          </wp:inline>
        </w:drawing>
      </w:r>
      <w:r>
        <w:rPr/>
        <w:t xml:space="preserve"> </w:t>
      </w:r>
    </w:p>
    <w:p>
      <w:pPr>
        <w:pStyle w:val="TextBody"/>
        <w:bidi w:val="0"/>
        <w:spacing w:before="240" w:after="0"/>
        <w:jc w:val="both"/>
        <w:rPr>
          <w:rFonts w:ascii="ARIAL" w:hAnsi="ARIAL"/>
          <w:sz w:val="22"/>
        </w:rPr>
      </w:pPr>
      <w:r>
        <w:rPr>
          <w:rFonts w:ascii="ARIAL" w:hAnsi="ARIAL"/>
          <w:sz w:val="22"/>
        </w:rPr>
        <w:t xml:space="preserve">In evaluating the performance and pay results for 2025, the Committee concluded that the resulting level of pay and performance were reasonably well aligned in that some results were below expectations and the resulting payouts were below target. </w:t>
      </w:r>
    </w:p>
    <w:p>
      <w:pPr>
        <w:pStyle w:val="TextBody"/>
        <w:bidi w:val="0"/>
        <w:spacing w:before="240" w:after="0"/>
        <w:jc w:val="both"/>
        <w:rPr>
          <w:rFonts w:ascii="ARIAL" w:hAnsi="ARIAL"/>
          <w:sz w:val="22"/>
        </w:rPr>
      </w:pPr>
      <w:r>
        <w:rPr>
          <w:rFonts w:ascii="ARIAL" w:hAnsi="ARIAL"/>
          <w:sz w:val="22"/>
        </w:rPr>
        <w:t xml:space="preserve">As we embark on 2026, we are encouraged by the following actions and improvements that have us well positioned for success: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We significantly strengthened our front-end capabilities through an innovation model redesign, enhanced innovation strategy and the addition of new early-innovation capabilities.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We have significantly increased our advertising and promotional investments versus the prior year by 50 basis points, to 6% of net sales in 2025, reflecting our continued commitment to brand building.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We have begun executing our global productivity plan, announced in December 2025, designed to further simplify processes, reduce overhead, and redirect resources to the highest value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We have implemented Quantum Leap, our top-led program for AI-enabled transformation and value creation at scale.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color w:val="248EC3"/>
          <w:sz w:val="22"/>
        </w:rPr>
      </w:pPr>
      <w:r>
        <w:rPr>
          <w:rFonts w:ascii="ARIAL" w:hAnsi="ARIAL"/>
          <w:b/>
          <w:i/>
          <w:color w:val="248EC3"/>
          <w:sz w:val="22"/>
        </w:rPr>
        <w:t xml:space="preserve">Compensation Program Objectives </w:t>
      </w:r>
    </w:p>
    <w:p>
      <w:pPr>
        <w:pStyle w:val="TextBody"/>
        <w:bidi w:val="0"/>
        <w:spacing w:before="240" w:after="0"/>
        <w:jc w:val="both"/>
        <w:rPr>
          <w:rFonts w:ascii="ARIAL" w:hAnsi="ARIAL"/>
          <w:sz w:val="22"/>
        </w:rPr>
      </w:pPr>
      <w:r>
        <w:rPr>
          <w:rFonts w:ascii="ARIAL" w:hAnsi="ARIAL"/>
          <w:sz w:val="22"/>
        </w:rPr>
        <w:t xml:space="preserve">The Company’s executive compensation philosophy is designed to attract, retain, and motivate high-performing leaders who drive long-term shareholder value. The Committee believes that executive pay should be: </w:t>
      </w:r>
    </w:p>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70"/>
        <w:gridCol w:w="60"/>
        <w:gridCol w:w="7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both"/>
              <w:rPr>
                <w:rFonts w:ascii="ARIAL" w:hAnsi="ARIAL"/>
                <w:sz w:val="22"/>
              </w:rPr>
            </w:pPr>
            <w:r>
              <w:rPr>
                <w:rFonts w:ascii="ARIAL" w:hAnsi="ARIAL"/>
                <w:b/>
                <w:sz w:val="22"/>
              </w:rPr>
              <w:t>Market competitive to attract and retain the best possible executive talent.</w:t>
            </w:r>
            <w:r>
              <w:rPr>
                <w:rFonts w:ascii="ARIAL" w:hAnsi="ARIAL"/>
                <w:sz w:val="22"/>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sz w:val="22"/>
              </w:rPr>
              <w:t>Performance-based</w:t>
            </w:r>
            <w:r>
              <w:rPr>
                <w:rFonts w:ascii="ARIAL" w:hAnsi="ARIAL"/>
                <w:sz w:val="22"/>
              </w:rPr>
              <w:t xml:space="preserve">: A significant portion of total compensation is </w:t>
            </w:r>
            <w:r>
              <w:rPr>
                <w:rFonts w:ascii="ARIAL" w:hAnsi="ARIAL"/>
                <w:b/>
                <w:sz w:val="22"/>
              </w:rPr>
              <w:t>tied to the achievement of financial and strategic goals</w:t>
            </w:r>
            <w:r>
              <w:rPr>
                <w:rFonts w:ascii="ARIAL" w:hAnsi="ARIAL"/>
                <w:sz w:val="22"/>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sz w:val="22"/>
              </w:rPr>
              <w:t>Transparent and simple</w:t>
            </w:r>
            <w:r>
              <w:rPr>
                <w:rFonts w:ascii="ARIAL" w:hAnsi="ARIAL"/>
                <w:sz w:val="22"/>
              </w:rPr>
              <w:t xml:space="preserve">: We strive for clarity in our compensation programs so they are easily understood by executives, stockholders and other stakeholders.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sz w:val="22"/>
              </w:rPr>
              <w:t>Market aligned and balanced:</w:t>
            </w:r>
            <w:r>
              <w:rPr>
                <w:rFonts w:ascii="ARIAL" w:hAnsi="ARIAL"/>
                <w:sz w:val="22"/>
              </w:rPr>
              <w:t xml:space="preserve"> Our pay mix is </w:t>
            </w:r>
            <w:r>
              <w:rPr>
                <w:rFonts w:ascii="ARIAL" w:hAnsi="ARIAL"/>
                <w:b/>
                <w:sz w:val="22"/>
              </w:rPr>
              <w:t>market driven and includes fixed and variable components</w:t>
            </w:r>
            <w:r>
              <w:rPr>
                <w:rFonts w:ascii="ARIAL" w:hAnsi="ARIAL"/>
                <w:sz w:val="22"/>
              </w:rPr>
              <w:t xml:space="preserve">, with a strong emphasis on long-term equity incentives.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sz w:val="22"/>
              </w:rPr>
              <w:t>Designed to align management and stockholder interest over time</w:t>
            </w:r>
            <w:r>
              <w:rPr>
                <w:rFonts w:ascii="ARIAL" w:hAnsi="ARIAL"/>
                <w:sz w:val="22"/>
              </w:rPr>
              <w:t xml:space="preserve"> by maintaining a compensation program with a strong performance orientation.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b/>
                <w:sz w:val="22"/>
              </w:rPr>
              <w:t xml:space="preserve">Responsive to stockholders: </w:t>
            </w:r>
            <w:r>
              <w:rPr>
                <w:rFonts w:ascii="ARIAL" w:hAnsi="ARIAL"/>
                <w:sz w:val="22"/>
              </w:rPr>
              <w:t xml:space="preserve">We regularly engage with stockholders and consider their feedback, including results from our annual say-on-pay vote, in shaping compensation practices. </w:t>
            </w:r>
          </w:p>
        </w:tc>
      </w:tr>
    </w:tbl>
    <w:p>
      <w:pPr>
        <w:pStyle w:val="TextBody"/>
        <w:bidi w:val="0"/>
        <w:spacing w:before="360" w:after="0"/>
        <w:jc w:val="left"/>
        <w:rPr>
          <w:rFonts w:ascii="ARIAL" w:hAnsi="ARIAL"/>
          <w:b/>
          <w:i/>
          <w:color w:val="248EC3"/>
          <w:sz w:val="22"/>
        </w:rPr>
      </w:pPr>
      <w:r>
        <w:rPr>
          <w:rFonts w:ascii="ARIAL" w:hAnsi="ARIAL"/>
          <w:b/>
          <w:i/>
          <w:color w:val="248EC3"/>
          <w:sz w:val="22"/>
        </w:rPr>
        <w:t xml:space="preserve">Compensation Policies and Practices </w:t>
      </w:r>
    </w:p>
    <w:p>
      <w:pPr>
        <w:pStyle w:val="TextBody"/>
        <w:bidi w:val="0"/>
        <w:spacing w:before="240" w:after="0"/>
        <w:jc w:val="both"/>
        <w:rPr>
          <w:rFonts w:ascii="ARIAL" w:hAnsi="ARIAL"/>
          <w:sz w:val="22"/>
        </w:rPr>
      </w:pPr>
      <w:r>
        <w:rPr>
          <w:rFonts w:ascii="ARIAL" w:hAnsi="ARIAL"/>
          <w:sz w:val="22"/>
        </w:rPr>
        <w:t xml:space="preserve">The Committee believes that the compensation program includes key features that align the interests of the named executive officers and the long-term interests of stockholders and are good corporate governance practices.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008"/>
        <w:gridCol w:w="60"/>
        <w:gridCol w:w="60"/>
        <w:gridCol w:w="120"/>
        <w:gridCol w:w="3957"/>
      </w:tblGrid>
      <w:tr>
        <w:trPr/>
        <w:tc>
          <w:tcPr>
            <w:tcW w:w="6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7" w:type="dxa"/>
            <w:tcBorders/>
            <w:vAlign w:val="center"/>
          </w:tcPr>
          <w:p>
            <w:pPr>
              <w:pStyle w:val="TableContents"/>
              <w:bidi w:val="0"/>
              <w:spacing w:before="0" w:after="283"/>
              <w:jc w:val="left"/>
              <w:rPr>
                <w:sz w:val="4"/>
                <w:szCs w:val="4"/>
              </w:rPr>
            </w:pPr>
            <w:r>
              <w:rPr>
                <w:sz w:val="4"/>
                <w:szCs w:val="4"/>
              </w:rPr>
            </w:r>
          </w:p>
        </w:tc>
      </w:tr>
      <w:tr>
        <w:trPr/>
        <w:tc>
          <w:tcPr>
            <w:tcW w:w="6008" w:type="dxa"/>
            <w:tcBorders>
              <w:right w:val="single" w:sz="6" w:space="0" w:color="000000"/>
            </w:tcBorders>
            <w:shd w:fill="248EC3" w:val="clear"/>
            <w:tcMar>
              <w:right w:w="28" w:type="dxa"/>
            </w:tcMar>
            <w:vAlign w:val="center"/>
          </w:tcPr>
          <w:p>
            <w:pPr>
              <w:pStyle w:val="TableContents"/>
              <w:bidi w:val="0"/>
              <w:spacing w:before="0" w:after="283"/>
              <w:jc w:val="left"/>
              <w:rPr/>
            </w:pPr>
            <w:r>
              <w:rPr/>
              <w:t> </w:t>
            </w:r>
          </w:p>
        </w:tc>
        <w:tc>
          <w:tcPr>
            <w:tcW w:w="120" w:type="dxa"/>
            <w:gridSpan w:val="2"/>
            <w:tcBorders/>
            <w:shd w:fill="248EC3" w:val="clear"/>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shd w:fill="248EC3" w:val="clear"/>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shd w:fill="248EC3" w:val="clear"/>
            <w:tcMar>
              <w:right w:w="28" w:type="dxa"/>
            </w:tcMar>
            <w:vAlign w:val="center"/>
          </w:tcPr>
          <w:p>
            <w:pPr>
              <w:pStyle w:val="TableContents"/>
              <w:bidi w:val="0"/>
              <w:spacing w:before="0" w:after="283"/>
              <w:jc w:val="center"/>
              <w:rPr>
                <w:color w:val="FFFFFF"/>
                <w:sz w:val="22"/>
              </w:rPr>
            </w:pPr>
            <w:r>
              <w:rPr>
                <w:color w:val="FFFFFF"/>
                <w:sz w:val="22"/>
              </w:rPr>
              <w:t>What We Do</w:t>
            </w:r>
          </w:p>
        </w:tc>
        <w:tc>
          <w:tcPr>
            <w:tcW w:w="60" w:type="dxa"/>
            <w:tcBorders/>
            <w:shd w:fill="248EC3" w:val="clear"/>
            <w:vAlign w:val="center"/>
          </w:tcPr>
          <w:p>
            <w:pPr>
              <w:pStyle w:val="TableContents"/>
              <w:bidi w:val="0"/>
              <w:spacing w:before="0" w:after="283"/>
              <w:jc w:val="left"/>
              <w:rPr/>
            </w:pPr>
            <w:r>
              <w:rPr/>
              <w:t> </w:t>
            </w:r>
          </w:p>
        </w:tc>
        <w:tc>
          <w:tcPr>
            <w:tcW w:w="60" w:type="dxa"/>
            <w:tcBorders/>
            <w:shd w:fill="248EC3" w:val="clear"/>
            <w:vAlign w:val="center"/>
          </w:tcPr>
          <w:p>
            <w:pPr>
              <w:pStyle w:val="TableContents"/>
              <w:bidi w:val="0"/>
              <w:spacing w:before="0" w:after="283"/>
              <w:jc w:val="left"/>
              <w:rPr/>
            </w:pPr>
            <w:r>
              <w:rPr/>
              <w:t> </w:t>
            </w:r>
          </w:p>
        </w:tc>
        <w:tc>
          <w:tcPr>
            <w:tcW w:w="120" w:type="dxa"/>
            <w:tcBorders>
              <w:left w:val="single" w:sz="6" w:space="0" w:color="000000"/>
            </w:tcBorders>
            <w:shd w:fill="248EC3" w:val="clear"/>
            <w:tcMar>
              <w:left w:w="28" w:type="dxa"/>
            </w:tcMar>
            <w:vAlign w:val="center"/>
          </w:tcPr>
          <w:p>
            <w:pPr>
              <w:pStyle w:val="TableContents"/>
              <w:bidi w:val="0"/>
              <w:spacing w:before="0" w:after="283"/>
              <w:jc w:val="left"/>
              <w:rPr/>
            </w:pPr>
            <w:r>
              <w:rPr/>
              <w:t>  </w:t>
            </w:r>
          </w:p>
        </w:tc>
        <w:tc>
          <w:tcPr>
            <w:tcW w:w="3957" w:type="dxa"/>
            <w:tcBorders/>
            <w:shd w:fill="248EC3" w:val="clear"/>
            <w:vAlign w:val="center"/>
          </w:tcPr>
          <w:p>
            <w:pPr>
              <w:pStyle w:val="TableContents"/>
              <w:bidi w:val="0"/>
              <w:spacing w:before="0" w:after="283"/>
              <w:jc w:val="center"/>
              <w:rPr>
                <w:color w:val="FFFFFF"/>
                <w:sz w:val="22"/>
              </w:rPr>
            </w:pPr>
            <w:r>
              <w:rPr>
                <w:color w:val="FFFFFF"/>
                <w:sz w:val="22"/>
              </w:rPr>
              <w:t>What We Don’t Do</w:t>
            </w:r>
          </w:p>
        </w:tc>
      </w:tr>
      <w:tr>
        <w:trPr/>
        <w:tc>
          <w:tcPr>
            <w:tcW w:w="600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95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00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95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shd w:fill="D5EBF6" w:val="clear"/>
            <w:tcMar>
              <w:right w:w="28" w:type="dxa"/>
            </w:tcMar>
            <w:vAlign w:val="center"/>
          </w:tcPr>
          <w:p>
            <w:pPr>
              <w:pStyle w:val="TableContents"/>
              <w:bidi w:val="0"/>
              <w:spacing w:before="0" w:after="283"/>
              <w:jc w:val="left"/>
              <w:rPr/>
            </w:pPr>
            <w:r>
              <w:rPr/>
              <w:t> </w:t>
            </w:r>
          </w:p>
        </w:tc>
        <w:tc>
          <w:tcPr>
            <w:tcW w:w="120" w:type="dxa"/>
            <w:gridSpan w:val="2"/>
            <w:tcBorders/>
            <w:shd w:fill="D5EBF6" w:val="clear"/>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shd w:fill="D5EBF6" w:val="clear"/>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shd w:fill="D5EBF6" w:val="clear"/>
            <w:tcMar>
              <w:right w:w="28" w:type="dxa"/>
            </w:tcM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 Align pay with performance</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D5EBF6" w:val="clear"/>
            <w:tcMar>
              <w:left w:w="28" w:type="dxa"/>
            </w:tcMar>
            <w:vAlign w:val="center"/>
          </w:tcPr>
          <w:p>
            <w:pPr>
              <w:pStyle w:val="TableContents"/>
              <w:bidi w:val="0"/>
              <w:spacing w:before="0" w:after="283"/>
              <w:jc w:val="left"/>
              <w:rPr/>
            </w:pPr>
            <w:r>
              <w:rPr/>
              <w:t>  </w:t>
            </w:r>
          </w:p>
        </w:tc>
        <w:tc>
          <w:tcPr>
            <w:tcW w:w="3957"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 Provide automatic or guaranteed base salary increases</w:t>
            </w:r>
          </w:p>
        </w:tc>
      </w:tr>
      <w:tr>
        <w:trPr/>
        <w:tc>
          <w:tcPr>
            <w:tcW w:w="6008"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tcMar>
              <w:right w:w="28" w:type="dxa"/>
            </w:tcM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 Cap annual and long-term incentive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957"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 Re-price or back-date stock options</w:t>
            </w:r>
          </w:p>
        </w:tc>
      </w:tr>
      <w:tr>
        <w:trPr/>
        <w:tc>
          <w:tcPr>
            <w:tcW w:w="6008" w:type="dxa"/>
            <w:tcBorders>
              <w:right w:val="single" w:sz="6" w:space="0" w:color="000000"/>
            </w:tcBorders>
            <w:shd w:fill="D5EBF6" w:val="clear"/>
            <w:tcMar>
              <w:right w:w="28" w:type="dxa"/>
            </w:tcMar>
            <w:vAlign w:val="center"/>
          </w:tcPr>
          <w:p>
            <w:pPr>
              <w:pStyle w:val="TableContents"/>
              <w:bidi w:val="0"/>
              <w:spacing w:before="0" w:after="283"/>
              <w:jc w:val="left"/>
              <w:rPr/>
            </w:pPr>
            <w:r>
              <w:rPr/>
              <w:t> </w:t>
            </w:r>
          </w:p>
        </w:tc>
        <w:tc>
          <w:tcPr>
            <w:tcW w:w="120" w:type="dxa"/>
            <w:gridSpan w:val="2"/>
            <w:tcBorders/>
            <w:shd w:fill="D5EBF6" w:val="clear"/>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shd w:fill="D5EBF6" w:val="clear"/>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shd w:fill="D5EBF6" w:val="clear"/>
            <w:tcMar>
              <w:right w:w="28" w:type="dxa"/>
            </w:tcM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 Require named executive officers and directors to own a meaningful amount of Company stock</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D5EBF6" w:val="clear"/>
            <w:tcMar>
              <w:left w:w="28" w:type="dxa"/>
            </w:tcMar>
            <w:vAlign w:val="center"/>
          </w:tcPr>
          <w:p>
            <w:pPr>
              <w:pStyle w:val="TableContents"/>
              <w:bidi w:val="0"/>
              <w:spacing w:before="0" w:after="283"/>
              <w:jc w:val="left"/>
              <w:rPr/>
            </w:pPr>
            <w:r>
              <w:rPr/>
              <w:t>  </w:t>
            </w:r>
          </w:p>
        </w:tc>
        <w:tc>
          <w:tcPr>
            <w:tcW w:w="3957"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 Reward executives without consideration of their performance</w:t>
            </w:r>
          </w:p>
        </w:tc>
      </w:tr>
      <w:tr>
        <w:trPr/>
        <w:tc>
          <w:tcPr>
            <w:tcW w:w="6008"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tcMar>
              <w:right w:w="28" w:type="dxa"/>
            </w:tcM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 Maintain a compensation recoupment policy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957"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 Pay dividend equivalents on RSUs prior to vesting</w:t>
            </w:r>
          </w:p>
        </w:tc>
      </w:tr>
      <w:tr>
        <w:trPr/>
        <w:tc>
          <w:tcPr>
            <w:tcW w:w="6008" w:type="dxa"/>
            <w:tcBorders>
              <w:right w:val="single" w:sz="6" w:space="0" w:color="000000"/>
            </w:tcBorders>
            <w:shd w:fill="D5EBF6" w:val="clear"/>
            <w:tcMar>
              <w:right w:w="28" w:type="dxa"/>
            </w:tcMar>
            <w:vAlign w:val="center"/>
          </w:tcPr>
          <w:p>
            <w:pPr>
              <w:pStyle w:val="TableContents"/>
              <w:bidi w:val="0"/>
              <w:spacing w:before="0" w:after="283"/>
              <w:jc w:val="left"/>
              <w:rPr/>
            </w:pPr>
            <w:r>
              <w:rPr/>
              <w:t> </w:t>
            </w:r>
          </w:p>
        </w:tc>
        <w:tc>
          <w:tcPr>
            <w:tcW w:w="120" w:type="dxa"/>
            <w:gridSpan w:val="2"/>
            <w:tcBorders/>
            <w:shd w:fill="D5EBF6" w:val="clear"/>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shd w:fill="D5EBF6" w:val="clear"/>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shd w:fill="D5EBF6" w:val="clear"/>
            <w:tcMar>
              <w:right w:w="28" w:type="dxa"/>
            </w:tcM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 Maintain anti-hedging and anti-pledging policies for directors, executive officers and other employees</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D5EBF6" w:val="clear"/>
            <w:tcMar>
              <w:left w:w="28" w:type="dxa"/>
            </w:tcMar>
            <w:vAlign w:val="center"/>
          </w:tcPr>
          <w:p>
            <w:pPr>
              <w:pStyle w:val="TableContents"/>
              <w:bidi w:val="0"/>
              <w:spacing w:before="0" w:after="283"/>
              <w:jc w:val="left"/>
              <w:rPr/>
            </w:pPr>
            <w:r>
              <w:rPr/>
              <w:t>  </w:t>
            </w:r>
          </w:p>
        </w:tc>
        <w:tc>
          <w:tcPr>
            <w:tcW w:w="3957"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 Provide tax gross ups on golden parachute excise taxes</w:t>
            </w:r>
          </w:p>
        </w:tc>
      </w:tr>
      <w:tr>
        <w:trPr/>
        <w:tc>
          <w:tcPr>
            <w:tcW w:w="6008"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tcMar>
              <w:right w:w="28" w:type="dxa"/>
            </w:tcM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 Balance short-term and long-term incentives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957" w:type="dxa"/>
            <w:tcBorders/>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 Provide guaranteed incentive payouts over multi-year periods</w:t>
            </w:r>
          </w:p>
        </w:tc>
      </w:tr>
      <w:tr>
        <w:trPr/>
        <w:tc>
          <w:tcPr>
            <w:tcW w:w="6008" w:type="dxa"/>
            <w:tcBorders>
              <w:right w:val="single" w:sz="6" w:space="0" w:color="000000"/>
            </w:tcBorders>
            <w:shd w:fill="D5EBF6" w:val="clear"/>
            <w:tcMar>
              <w:right w:w="28" w:type="dxa"/>
            </w:tcMar>
            <w:vAlign w:val="center"/>
          </w:tcPr>
          <w:p>
            <w:pPr>
              <w:pStyle w:val="TableContents"/>
              <w:bidi w:val="0"/>
              <w:spacing w:before="0" w:after="283"/>
              <w:jc w:val="left"/>
              <w:rPr/>
            </w:pPr>
            <w:r>
              <w:rPr/>
              <w:t> </w:t>
            </w:r>
          </w:p>
        </w:tc>
        <w:tc>
          <w:tcPr>
            <w:tcW w:w="120" w:type="dxa"/>
            <w:gridSpan w:val="2"/>
            <w:tcBorders/>
            <w:shd w:fill="D5EBF6" w:val="clear"/>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shd w:fill="D5EBF6" w:val="clear"/>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shd w:fill="D5EBF6" w:val="clear"/>
            <w:tcMar>
              <w:right w:w="28" w:type="dxa"/>
            </w:tcM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 Use an independent compensation consultant that is engaged by the Committee</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D5EBF6" w:val="clear"/>
            <w:tcMar>
              <w:left w:w="28" w:type="dxa"/>
            </w:tcMar>
            <w:vAlign w:val="center"/>
          </w:tcPr>
          <w:p>
            <w:pPr>
              <w:pStyle w:val="TableContents"/>
              <w:bidi w:val="0"/>
              <w:spacing w:before="0" w:after="283"/>
              <w:jc w:val="left"/>
              <w:rPr/>
            </w:pPr>
            <w:r>
              <w:rPr/>
              <w:t>  </w:t>
            </w:r>
          </w:p>
        </w:tc>
        <w:tc>
          <w:tcPr>
            <w:tcW w:w="3957"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 Permit directors, executive officers or other employees to engage in hedging or pledging of our stock</w:t>
            </w:r>
          </w:p>
        </w:tc>
      </w:tr>
      <w:tr>
        <w:trPr/>
        <w:tc>
          <w:tcPr>
            <w:tcW w:w="6008"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tcMar>
              <w:right w:w="28" w:type="dxa"/>
            </w:tcM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 Periodically review and evaluate plans for management development and succession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957" w:type="dxa"/>
            <w:tcBorders/>
            <w:vAlign w:val="center"/>
          </w:tcPr>
          <w:p>
            <w:pPr>
              <w:pStyle w:val="TableContents"/>
              <w:bidi w:val="0"/>
              <w:spacing w:before="0" w:after="283"/>
              <w:jc w:val="left"/>
              <w:rPr>
                <w:sz w:val="4"/>
                <w:szCs w:val="4"/>
              </w:rPr>
            </w:pPr>
            <w:r>
              <w:rPr>
                <w:sz w:val="4"/>
                <w:szCs w:val="4"/>
              </w:rPr>
            </w:r>
          </w:p>
        </w:tc>
      </w:tr>
      <w:tr>
        <w:trPr/>
        <w:tc>
          <w:tcPr>
            <w:tcW w:w="6008" w:type="dxa"/>
            <w:tcBorders>
              <w:right w:val="single" w:sz="6" w:space="0" w:color="000000"/>
            </w:tcBorders>
            <w:shd w:fill="D5EBF6" w:val="clear"/>
            <w:tcMar>
              <w:right w:w="28" w:type="dxa"/>
            </w:tcMar>
            <w:vAlign w:val="center"/>
          </w:tcPr>
          <w:p>
            <w:pPr>
              <w:pStyle w:val="TableContents"/>
              <w:bidi w:val="0"/>
              <w:spacing w:before="0" w:after="283"/>
              <w:jc w:val="left"/>
              <w:rPr/>
            </w:pPr>
            <w:r>
              <w:rPr/>
              <w:t> </w:t>
            </w:r>
          </w:p>
        </w:tc>
        <w:tc>
          <w:tcPr>
            <w:tcW w:w="120" w:type="dxa"/>
            <w:gridSpan w:val="2"/>
            <w:tcBorders/>
            <w:shd w:fill="D5EBF6" w:val="clear"/>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shd w:fill="D5EBF6" w:val="clear"/>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shd w:fill="D5EBF6" w:val="clear"/>
            <w:tcMar>
              <w:right w:w="28" w:type="dxa"/>
            </w:tcM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 Periodically review and update the composition of the compensation peer group, as appropriate</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D5EBF6" w:val="clear"/>
            <w:tcMar>
              <w:left w:w="28" w:type="dxa"/>
            </w:tcMar>
            <w:vAlign w:val="center"/>
          </w:tcPr>
          <w:p>
            <w:pPr>
              <w:pStyle w:val="TableContents"/>
              <w:bidi w:val="0"/>
              <w:spacing w:before="0" w:after="283"/>
              <w:jc w:val="left"/>
              <w:rPr/>
            </w:pPr>
            <w:r>
              <w:rPr/>
              <w:t>  </w:t>
            </w:r>
          </w:p>
        </w:tc>
        <w:tc>
          <w:tcPr>
            <w:tcW w:w="3957" w:type="dxa"/>
            <w:tcBorders/>
            <w:shd w:fill="D5EBF6" w:val="clear"/>
            <w:vAlign w:val="center"/>
          </w:tcPr>
          <w:p>
            <w:pPr>
              <w:pStyle w:val="TableContents"/>
              <w:bidi w:val="0"/>
              <w:spacing w:before="0" w:after="283"/>
              <w:jc w:val="left"/>
              <w:rPr>
                <w:sz w:val="4"/>
                <w:szCs w:val="4"/>
              </w:rPr>
            </w:pPr>
            <w:r>
              <w:rPr>
                <w:sz w:val="4"/>
                <w:szCs w:val="4"/>
              </w:rPr>
            </w:r>
          </w:p>
        </w:tc>
      </w:tr>
      <w:tr>
        <w:trPr/>
        <w:tc>
          <w:tcPr>
            <w:tcW w:w="6008"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077"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6008" w:type="dxa"/>
            <w:tcBorders>
              <w:right w:val="single" w:sz="6" w:space="0" w:color="000000"/>
            </w:tcBorders>
            <w:tcMar>
              <w:right w:w="28" w:type="dxa"/>
            </w:tcM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 Use competitive practices, peer company and general industry information as a reference for decisions as to the mix and levels of named executive officer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957" w:type="dxa"/>
            <w:tcBorders/>
            <w:vAlign w:val="center"/>
          </w:tcPr>
          <w:p>
            <w:pPr>
              <w:pStyle w:val="TableContents"/>
              <w:bidi w:val="0"/>
              <w:spacing w:before="0" w:after="283"/>
              <w:jc w:val="left"/>
              <w:rPr>
                <w:sz w:val="4"/>
                <w:szCs w:val="4"/>
              </w:rPr>
            </w:pPr>
            <w:r>
              <w:rPr>
                <w:sz w:val="4"/>
                <w:szCs w:val="4"/>
              </w:rPr>
            </w:r>
          </w:p>
        </w:tc>
      </w:tr>
      <w:tr>
        <w:trPr/>
        <w:tc>
          <w:tcPr>
            <w:tcW w:w="6008"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9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color w:val="248EC3"/>
          <w:sz w:val="22"/>
        </w:rPr>
      </w:pPr>
      <w:r>
        <w:rPr>
          <w:rFonts w:ascii="ARIAL" w:hAnsi="ARIAL"/>
          <w:b/>
          <w:i/>
          <w:color w:val="248EC3"/>
          <w:sz w:val="22"/>
        </w:rPr>
        <w:t xml:space="preserve">Determination of Executive Officer Compensation </w:t>
      </w:r>
    </w:p>
    <w:p>
      <w:pPr>
        <w:pStyle w:val="TextBody"/>
        <w:bidi w:val="0"/>
        <w:spacing w:before="240" w:after="0"/>
        <w:jc w:val="both"/>
        <w:rPr>
          <w:rFonts w:ascii="ARIAL" w:hAnsi="ARIAL"/>
          <w:sz w:val="22"/>
        </w:rPr>
      </w:pPr>
      <w:r>
        <w:rPr>
          <w:rFonts w:ascii="ARIAL" w:hAnsi="ARIAL"/>
          <w:sz w:val="22"/>
        </w:rPr>
        <w:t xml:space="preserve">Summarized in the table below are roles and responsibilities of the parties that participate in, or have been delegated authority with respect to, the development and administration of the Company’s executive compensation program: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10"/>
        <w:gridCol w:w="120"/>
        <w:gridCol w:w="6975"/>
      </w:tblGrid>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75" w:type="dxa"/>
            <w:tcBorders/>
            <w:vAlign w:val="center"/>
          </w:tcPr>
          <w:p>
            <w:pPr>
              <w:pStyle w:val="TableContents"/>
              <w:bidi w:val="0"/>
              <w:spacing w:before="0" w:after="283"/>
              <w:jc w:val="left"/>
              <w:rPr>
                <w:sz w:val="4"/>
                <w:szCs w:val="4"/>
              </w:rPr>
            </w:pPr>
            <w:r>
              <w:rPr>
                <w:sz w:val="4"/>
                <w:szCs w:val="4"/>
              </w:rPr>
            </w:r>
          </w:p>
        </w:tc>
      </w:tr>
      <w:tr>
        <w:trPr/>
        <w:tc>
          <w:tcPr>
            <w:tcW w:w="3110" w:type="dxa"/>
            <w:vMerge w:val="restart"/>
            <w:tcBorders/>
            <w:vAlign w:val="center"/>
          </w:tcPr>
          <w:p>
            <w:pPr>
              <w:pStyle w:val="TableContents"/>
              <w:bidi w:val="0"/>
              <w:spacing w:before="0" w:after="283"/>
              <w:jc w:val="center"/>
              <w:rPr>
                <w:b/>
              </w:rPr>
            </w:pPr>
            <w:r>
              <w:rPr>
                <w:b/>
              </w:rPr>
              <w:t>Compensation and Human Capital Committee</w:t>
            </w:r>
          </w:p>
        </w:tc>
        <w:tc>
          <w:tcPr>
            <w:tcW w:w="120" w:type="dxa"/>
            <w:tcBorders/>
            <w:shd w:fill="D5EBF6" w:val="clear"/>
            <w:vAlign w:val="center"/>
          </w:tcPr>
          <w:p>
            <w:pPr>
              <w:pStyle w:val="TableContents"/>
              <w:bidi w:val="0"/>
              <w:spacing w:before="0" w:after="283"/>
              <w:jc w:val="left"/>
              <w:rPr/>
            </w:pPr>
            <w:r>
              <w:rPr/>
              <w:t>  </w:t>
            </w:r>
          </w:p>
        </w:tc>
        <w:tc>
          <w:tcPr>
            <w:tcW w:w="6975" w:type="dxa"/>
            <w:tcBorders/>
            <w:shd w:fill="D5EBF6"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Reviews Company performance and approves the payout level of performance awards, if any, for executive officers</w:t>
            </w:r>
          </w:p>
        </w:tc>
      </w:tr>
      <w:tr>
        <w:trPr/>
        <w:tc>
          <w:tcPr>
            <w:tcW w:w="311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7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Reviews and approves the annual compensation, including salary, bonus and long-term incentives for all executive officers, including the CEO (1)</w:t>
            </w:r>
          </w:p>
          <w:p>
            <w:pPr>
              <w:pStyle w:val="TableContents"/>
              <w:bidi w:val="0"/>
              <w:spacing w:before="0" w:after="20"/>
              <w:jc w:val="left"/>
              <w:rPr/>
            </w:pPr>
            <w:r>
              <w:rPr/>
              <w:t> </w:t>
            </w:r>
          </w:p>
        </w:tc>
      </w:tr>
      <w:tr>
        <w:trPr/>
        <w:tc>
          <w:tcPr>
            <w:tcW w:w="3110" w:type="dxa"/>
            <w:vMerge w:val="continue"/>
            <w:tcBorders/>
            <w:vAlign w:val="center"/>
          </w:tcPr>
          <w:p>
            <w:pPr>
              <w:pStyle w:val="Normal"/>
              <w:bidi w:val="0"/>
              <w:jc w:val="left"/>
              <w:rPr/>
            </w:pPr>
            <w:r>
              <w:rPr/>
            </w:r>
          </w:p>
        </w:tc>
        <w:tc>
          <w:tcPr>
            <w:tcW w:w="120" w:type="dxa"/>
            <w:tcBorders/>
            <w:shd w:fill="D5EBF6" w:val="clear"/>
            <w:vAlign w:val="center"/>
          </w:tcPr>
          <w:p>
            <w:pPr>
              <w:pStyle w:val="TableContents"/>
              <w:bidi w:val="0"/>
              <w:spacing w:before="0" w:after="283"/>
              <w:jc w:val="left"/>
              <w:rPr/>
            </w:pPr>
            <w:r>
              <w:rPr/>
              <w:t>  </w:t>
            </w:r>
          </w:p>
        </w:tc>
        <w:tc>
          <w:tcPr>
            <w:tcW w:w="6975" w:type="dxa"/>
            <w:tcBorders/>
            <w:shd w:fill="D5EBF6"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Reviews and sets terms and conditions and performance goals for the Bonus Plan and awards under the LTIP</w:t>
            </w:r>
          </w:p>
        </w:tc>
      </w:tr>
      <w:tr>
        <w:trPr/>
        <w:tc>
          <w:tcPr>
            <w:tcW w:w="311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75"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Reviews and approves awards under the Bonus Plan, LTIP and other equity-based awards for all executive officers (1)</w:t>
            </w:r>
          </w:p>
        </w:tc>
      </w:tr>
      <w:tr>
        <w:trPr/>
        <w:tc>
          <w:tcPr>
            <w:tcW w:w="3110" w:type="dxa"/>
            <w:vMerge w:val="continue"/>
            <w:tcBorders/>
            <w:vAlign w:val="center"/>
          </w:tcPr>
          <w:p>
            <w:pPr>
              <w:pStyle w:val="Normal"/>
              <w:bidi w:val="0"/>
              <w:jc w:val="left"/>
              <w:rPr/>
            </w:pPr>
            <w:r>
              <w:rPr/>
            </w:r>
          </w:p>
        </w:tc>
        <w:tc>
          <w:tcPr>
            <w:tcW w:w="120" w:type="dxa"/>
            <w:tcBorders/>
            <w:shd w:fill="D5EBF6" w:val="clear"/>
            <w:vAlign w:val="center"/>
          </w:tcPr>
          <w:p>
            <w:pPr>
              <w:pStyle w:val="TableContents"/>
              <w:bidi w:val="0"/>
              <w:spacing w:before="0" w:after="283"/>
              <w:jc w:val="left"/>
              <w:rPr/>
            </w:pPr>
            <w:r>
              <w:rPr/>
              <w:t>  </w:t>
            </w:r>
          </w:p>
        </w:tc>
        <w:tc>
          <w:tcPr>
            <w:tcW w:w="6975" w:type="dxa"/>
            <w:tcBorders/>
            <w:shd w:fill="D5EBF6" w:val="clear"/>
            <w:vAlign w:val="center"/>
          </w:tcPr>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Drives efficacy, consistency, market competitiveness and parity in executive compensation plan design</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both"/>
              <w:rPr>
                <w:rFonts w:ascii="ARIAL" w:hAnsi="ARIAL"/>
                <w:sz w:val="18"/>
              </w:rPr>
            </w:pPr>
            <w:r>
              <w:rPr>
                <w:rFonts w:ascii="ARIAL" w:hAnsi="ARIAL"/>
                <w:sz w:val="18"/>
              </w:rPr>
              <w:t xml:space="preserve">Prior to amendment of the Committee’s charter by the Board in May 2025, the independent members of the Board approved the CEO’s annual compensation, including salary, bonus and long-term incentive compensation, based on recommendations from the Committee.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0"/>
        <w:gridCol w:w="120"/>
        <w:gridCol w:w="7405"/>
      </w:tblGrid>
      <w:tr>
        <w:trPr/>
        <w:tc>
          <w:tcPr>
            <w:tcW w:w="2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5" w:type="dxa"/>
            <w:tcBorders/>
            <w:vAlign w:val="center"/>
          </w:tcPr>
          <w:p>
            <w:pPr>
              <w:pStyle w:val="TableContents"/>
              <w:bidi w:val="0"/>
              <w:spacing w:before="0" w:after="283"/>
              <w:jc w:val="left"/>
              <w:rPr>
                <w:sz w:val="4"/>
                <w:szCs w:val="4"/>
              </w:rPr>
            </w:pPr>
            <w:r>
              <w:rPr>
                <w:sz w:val="4"/>
                <w:szCs w:val="4"/>
              </w:rPr>
            </w:r>
          </w:p>
        </w:tc>
      </w:tr>
      <w:tr>
        <w:trPr/>
        <w:tc>
          <w:tcPr>
            <w:tcW w:w="2680" w:type="dxa"/>
            <w:vMerge w:val="restart"/>
            <w:tcBorders/>
            <w:vAlign w:val="center"/>
          </w:tcPr>
          <w:p>
            <w:pPr>
              <w:pStyle w:val="TableContents"/>
              <w:bidi w:val="0"/>
              <w:spacing w:before="0" w:after="283"/>
              <w:jc w:val="center"/>
              <w:rPr>
                <w:b/>
              </w:rPr>
            </w:pPr>
            <w:r>
              <w:rPr>
                <w:b/>
              </w:rPr>
              <w:t>Committee Consultant (Pearl Meyer)</w:t>
            </w:r>
          </w:p>
        </w:tc>
        <w:tc>
          <w:tcPr>
            <w:tcW w:w="120" w:type="dxa"/>
            <w:tcBorders/>
            <w:shd w:fill="D5EBF6" w:val="clear"/>
            <w:vAlign w:val="center"/>
          </w:tcPr>
          <w:p>
            <w:pPr>
              <w:pStyle w:val="TableContents"/>
              <w:bidi w:val="0"/>
              <w:spacing w:before="0" w:after="283"/>
              <w:jc w:val="left"/>
              <w:rPr/>
            </w:pPr>
            <w:r>
              <w:rPr/>
              <w:t>  </w:t>
            </w:r>
          </w:p>
        </w:tc>
        <w:tc>
          <w:tcPr>
            <w:tcW w:w="7405" w:type="dxa"/>
            <w:tcBorders/>
            <w:shd w:fill="D5EBF6" w:val="clear"/>
            <w:vAlign w:val="center"/>
          </w:tcPr>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Assists the Committee in reviewing the effectiveness and competitiveness of the Company’s executive compensation program and policies</w:t>
            </w:r>
          </w:p>
        </w:tc>
      </w:tr>
      <w:tr>
        <w:trPr/>
        <w:tc>
          <w:tcPr>
            <w:tcW w:w="268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405"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Makes recommendations regarding executive compensation programs consistent with the Company’s business needs, pay philosophy, market trends, and the latest legal and regulatory considerations</w:t>
            </w:r>
          </w:p>
        </w:tc>
      </w:tr>
      <w:tr>
        <w:trPr/>
        <w:tc>
          <w:tcPr>
            <w:tcW w:w="2680" w:type="dxa"/>
            <w:vMerge w:val="continue"/>
            <w:tcBorders/>
            <w:vAlign w:val="center"/>
          </w:tcPr>
          <w:p>
            <w:pPr>
              <w:pStyle w:val="Normal"/>
              <w:bidi w:val="0"/>
              <w:jc w:val="left"/>
              <w:rPr/>
            </w:pPr>
            <w:r>
              <w:rPr/>
            </w:r>
          </w:p>
        </w:tc>
        <w:tc>
          <w:tcPr>
            <w:tcW w:w="120" w:type="dxa"/>
            <w:tcBorders/>
            <w:shd w:fill="D5EBF6" w:val="clear"/>
            <w:vAlign w:val="center"/>
          </w:tcPr>
          <w:p>
            <w:pPr>
              <w:pStyle w:val="TableContents"/>
              <w:bidi w:val="0"/>
              <w:spacing w:before="0" w:after="283"/>
              <w:jc w:val="left"/>
              <w:rPr/>
            </w:pPr>
            <w:r>
              <w:rPr/>
              <w:t>  </w:t>
            </w:r>
          </w:p>
        </w:tc>
        <w:tc>
          <w:tcPr>
            <w:tcW w:w="7405" w:type="dxa"/>
            <w:tcBorders/>
            <w:shd w:fill="D5EBF6" w:val="clear"/>
            <w:vAlign w:val="center"/>
          </w:tcPr>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Provides market data as background to decisions regarding CEO and senior executive base salary and annual and long-term incentives</w:t>
            </w:r>
          </w:p>
        </w:tc>
      </w:tr>
      <w:tr>
        <w:trPr/>
        <w:tc>
          <w:tcPr>
            <w:tcW w:w="268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405"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Advises the Committee regarding non-employee director pay levels and executive compensation best practices</w:t>
            </w:r>
          </w:p>
        </w:tc>
      </w:tr>
      <w:tr>
        <w:trPr/>
        <w:tc>
          <w:tcPr>
            <w:tcW w:w="2680" w:type="dxa"/>
            <w:vMerge w:val="continue"/>
            <w:tcBorders/>
            <w:vAlign w:val="center"/>
          </w:tcPr>
          <w:p>
            <w:pPr>
              <w:pStyle w:val="Normal"/>
              <w:bidi w:val="0"/>
              <w:jc w:val="left"/>
              <w:rPr/>
            </w:pPr>
            <w:r>
              <w:rPr/>
            </w:r>
          </w:p>
        </w:tc>
        <w:tc>
          <w:tcPr>
            <w:tcW w:w="120" w:type="dxa"/>
            <w:tcBorders/>
            <w:shd w:fill="D5EBF6" w:val="clear"/>
            <w:vAlign w:val="center"/>
          </w:tcPr>
          <w:p>
            <w:pPr>
              <w:pStyle w:val="TableContents"/>
              <w:bidi w:val="0"/>
              <w:spacing w:before="0" w:after="283"/>
              <w:jc w:val="left"/>
              <w:rPr/>
            </w:pPr>
            <w:r>
              <w:rPr/>
              <w:t>  </w:t>
            </w:r>
          </w:p>
        </w:tc>
        <w:tc>
          <w:tcPr>
            <w:tcW w:w="7405" w:type="dxa"/>
            <w:tcBorders/>
            <w:shd w:fill="D5EBF6" w:val="clear"/>
            <w:vAlign w:val="center"/>
          </w:tcPr>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Maintains independence by providing no other services to the Company (the Committee has evaluated its relationship with Pearl Meyer and has determined that no conflict of interest exists with respect to the services Pearl Meyer provides to the Committee)</w:t>
            </w:r>
          </w:p>
        </w:tc>
      </w:tr>
      <w:tr>
        <w:trPr/>
        <w:tc>
          <w:tcPr>
            <w:tcW w:w="268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405"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2"/>
              </w:rPr>
            </w:pPr>
            <w:r>
              <w:rPr>
                <w:rFonts w:ascii="WINGDINGS" w:hAnsi="WINGDINGS"/>
                <w:sz w:val="22"/>
              </w:rPr>
              <w:t>Ø</w:t>
            </w:r>
            <w:r>
              <w:rPr>
                <w:rFonts w:ascii="ARIAL" w:hAnsi="ARIAL"/>
                <w:sz w:val="22"/>
              </w:rPr>
              <w:t>  Supports the development of a compensation peer group</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9"/>
        <w:gridCol w:w="120"/>
        <w:gridCol w:w="7766"/>
      </w:tblGrid>
      <w:tr>
        <w:trPr/>
        <w:tc>
          <w:tcPr>
            <w:tcW w:w="23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66" w:type="dxa"/>
            <w:tcBorders/>
            <w:vAlign w:val="center"/>
          </w:tcPr>
          <w:p>
            <w:pPr>
              <w:pStyle w:val="TableContents"/>
              <w:bidi w:val="0"/>
              <w:spacing w:before="0" w:after="283"/>
              <w:jc w:val="left"/>
              <w:rPr>
                <w:sz w:val="4"/>
                <w:szCs w:val="4"/>
              </w:rPr>
            </w:pPr>
            <w:r>
              <w:rPr>
                <w:sz w:val="4"/>
                <w:szCs w:val="4"/>
              </w:rPr>
            </w:r>
          </w:p>
        </w:tc>
      </w:tr>
      <w:tr>
        <w:trPr/>
        <w:tc>
          <w:tcPr>
            <w:tcW w:w="2319" w:type="dxa"/>
            <w:vMerge w:val="restart"/>
            <w:tcBorders>
              <w:top w:val="single" w:sz="6" w:space="0" w:color="000000"/>
            </w:tcBorders>
            <w:tcMar>
              <w:top w:w="28" w:type="dxa"/>
            </w:tcMar>
            <w:vAlign w:val="center"/>
          </w:tcPr>
          <w:p>
            <w:pPr>
              <w:pStyle w:val="TableContents"/>
              <w:bidi w:val="0"/>
              <w:spacing w:before="0" w:after="0"/>
              <w:jc w:val="center"/>
              <w:rPr>
                <w:rFonts w:ascii="ARIAL" w:hAnsi="ARIAL"/>
                <w:b/>
                <w:sz w:val="22"/>
              </w:rPr>
            </w:pPr>
            <w:r>
              <w:rPr>
                <w:rFonts w:ascii="ARIAL" w:hAnsi="ARIAL"/>
                <w:b/>
                <w:sz w:val="22"/>
              </w:rPr>
              <w:t>President &amp; Chief Executive Officer</w:t>
            </w:r>
          </w:p>
        </w:tc>
        <w:tc>
          <w:tcPr>
            <w:tcW w:w="120" w:type="dxa"/>
            <w:tcBorders>
              <w:top w:val="single" w:sz="6" w:space="0" w:color="000000"/>
            </w:tcBorders>
            <w:shd w:fill="D5EBF6" w:val="clear"/>
            <w:tcMar>
              <w:top w:w="28" w:type="dxa"/>
            </w:tcMar>
            <w:vAlign w:val="center"/>
          </w:tcPr>
          <w:p>
            <w:pPr>
              <w:pStyle w:val="TableContents"/>
              <w:bidi w:val="0"/>
              <w:spacing w:before="0" w:after="283"/>
              <w:jc w:val="left"/>
              <w:rPr/>
            </w:pPr>
            <w:r>
              <w:rPr/>
              <w:t>  </w:t>
            </w:r>
          </w:p>
        </w:tc>
        <w:tc>
          <w:tcPr>
            <w:tcW w:w="7766" w:type="dxa"/>
            <w:tcBorders>
              <w:top w:val="single" w:sz="6" w:space="0" w:color="000000"/>
            </w:tcBorders>
            <w:shd w:fill="D5EBF6" w:val="clear"/>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Recommends to the Committee, in the case of other executive officers, base salary amounts, equity awards as well as potential adjustments to incentive awards based on individual performance (the CEO does not participate in discussions or decisions regarding his own compensation)</w:t>
            </w:r>
          </w:p>
          <w:p>
            <w:pPr>
              <w:pStyle w:val="TableContents"/>
              <w:bidi w:val="0"/>
              <w:spacing w:before="0" w:after="20"/>
              <w:jc w:val="left"/>
              <w:rPr/>
            </w:pPr>
            <w:r>
              <w:rPr/>
              <w:t> </w:t>
            </w:r>
          </w:p>
        </w:tc>
      </w:tr>
      <w:tr>
        <w:trPr/>
        <w:tc>
          <w:tcPr>
            <w:tcW w:w="2319" w:type="dxa"/>
            <w:vMerge w:val="continue"/>
            <w:tcBorders>
              <w:top w:val="single" w:sz="6" w:space="0" w:color="000000"/>
            </w:tcBorders>
            <w:tcMar>
              <w:top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766"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Participates in the development of annual Company performance goals under the Bonus Plan</w:t>
            </w:r>
          </w:p>
          <w:p>
            <w:pPr>
              <w:pStyle w:val="TableContents"/>
              <w:bidi w:val="0"/>
              <w:spacing w:before="0" w:after="20"/>
              <w:jc w:val="left"/>
              <w:rPr/>
            </w:pPr>
            <w:r>
              <w:rPr/>
              <w:t> </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06"/>
        <w:gridCol w:w="120"/>
        <w:gridCol w:w="8679"/>
      </w:tblGrid>
      <w:tr>
        <w:trPr/>
        <w:tc>
          <w:tcPr>
            <w:tcW w:w="14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79" w:type="dxa"/>
            <w:tcBorders/>
            <w:vAlign w:val="center"/>
          </w:tcPr>
          <w:p>
            <w:pPr>
              <w:pStyle w:val="TableContents"/>
              <w:bidi w:val="0"/>
              <w:spacing w:before="0" w:after="283"/>
              <w:jc w:val="left"/>
              <w:rPr>
                <w:sz w:val="4"/>
                <w:szCs w:val="4"/>
              </w:rPr>
            </w:pPr>
            <w:r>
              <w:rPr>
                <w:sz w:val="4"/>
                <w:szCs w:val="4"/>
              </w:rPr>
            </w:r>
          </w:p>
        </w:tc>
      </w:tr>
      <w:tr>
        <w:trPr/>
        <w:tc>
          <w:tcPr>
            <w:tcW w:w="1406" w:type="dxa"/>
            <w:tcBorders/>
            <w:vAlign w:val="center"/>
          </w:tcPr>
          <w:p>
            <w:pPr>
              <w:pStyle w:val="TableContents"/>
              <w:bidi w:val="0"/>
              <w:spacing w:before="0" w:after="283"/>
              <w:jc w:val="left"/>
              <w:rPr>
                <w:sz w:val="4"/>
                <w:szCs w:val="4"/>
              </w:rPr>
            </w:pPr>
            <w:r>
              <w:rPr>
                <w:sz w:val="4"/>
                <w:szCs w:val="4"/>
              </w:rPr>
            </w:r>
          </w:p>
        </w:tc>
        <w:tc>
          <w:tcPr>
            <w:tcW w:w="8799"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1406" w:type="dxa"/>
            <w:vMerge w:val="restart"/>
            <w:tcBorders/>
            <w:vAlign w:val="center"/>
          </w:tcPr>
          <w:p>
            <w:pPr>
              <w:pStyle w:val="TableContents"/>
              <w:bidi w:val="0"/>
              <w:spacing w:before="0" w:after="0"/>
              <w:jc w:val="center"/>
              <w:rPr>
                <w:rFonts w:ascii="ARIAL" w:hAnsi="ARIAL"/>
                <w:b/>
                <w:sz w:val="22"/>
              </w:rPr>
            </w:pPr>
            <w:r>
              <w:rPr>
                <w:rFonts w:ascii="ARIAL" w:hAnsi="ARIAL"/>
                <w:b/>
                <w:sz w:val="22"/>
              </w:rPr>
              <w:t>Other Executives</w:t>
            </w:r>
          </w:p>
        </w:tc>
        <w:tc>
          <w:tcPr>
            <w:tcW w:w="120" w:type="dxa"/>
            <w:tcBorders/>
            <w:shd w:fill="D5EBF6" w:val="clear"/>
            <w:vAlign w:val="center"/>
          </w:tcPr>
          <w:p>
            <w:pPr>
              <w:pStyle w:val="TableContents"/>
              <w:bidi w:val="0"/>
              <w:spacing w:before="0" w:after="283"/>
              <w:jc w:val="left"/>
              <w:rPr/>
            </w:pPr>
            <w:r>
              <w:rPr/>
              <w:t>  </w:t>
            </w:r>
          </w:p>
        </w:tc>
        <w:tc>
          <w:tcPr>
            <w:tcW w:w="8679" w:type="dxa"/>
            <w:tcBorders/>
            <w:shd w:fill="D5EBF6" w:val="clear"/>
            <w:vAlign w:val="center"/>
          </w:tcPr>
          <w:p>
            <w:pPr>
              <w:pStyle w:val="TableContents"/>
              <w:bidi w:val="0"/>
              <w:spacing w:before="0" w:after="0"/>
              <w:jc w:val="both"/>
              <w:rPr>
                <w:rFonts w:ascii="ARIAL" w:hAnsi="ARIAL"/>
                <w:sz w:val="22"/>
              </w:rPr>
            </w:pPr>
            <w:r>
              <w:rPr>
                <w:rFonts w:ascii="WINGDINGS" w:hAnsi="WINGDINGS"/>
                <w:sz w:val="22"/>
              </w:rPr>
              <w:t>Ø</w:t>
            </w:r>
            <w:r>
              <w:rPr>
                <w:rFonts w:ascii="ARIAL" w:hAnsi="ARIAL"/>
                <w:sz w:val="22"/>
              </w:rPr>
              <w:t>  The CEO’s management team plays a prominent role in gathering information for, and by participating in meetings of, the Committee</w:t>
            </w:r>
          </w:p>
          <w:p>
            <w:pPr>
              <w:pStyle w:val="TableContents"/>
              <w:bidi w:val="0"/>
              <w:spacing w:before="0" w:after="0"/>
              <w:jc w:val="left"/>
              <w:rPr/>
            </w:pPr>
            <w:r>
              <w:rPr/>
              <w:t> </w:t>
            </w:r>
          </w:p>
          <w:p>
            <w:pPr>
              <w:pStyle w:val="TableContents"/>
              <w:bidi w:val="0"/>
              <w:spacing w:before="0" w:after="20"/>
              <w:jc w:val="left"/>
              <w:rPr/>
            </w:pPr>
            <w:r>
              <w:rPr/>
              <w:t> </w:t>
            </w:r>
          </w:p>
        </w:tc>
      </w:tr>
      <w:tr>
        <w:trPr/>
        <w:tc>
          <w:tcPr>
            <w:tcW w:w="1406"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679"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The CEO works with the Chief Human Resources Officer regarding recommendations on base salary amounts, annual target bonus and equity awards for executives other than the CEO using competitive market data</w:t>
            </w:r>
          </w:p>
          <w:p>
            <w:pPr>
              <w:pStyle w:val="TableContents"/>
              <w:bidi w:val="0"/>
              <w:spacing w:before="0" w:after="20"/>
              <w:jc w:val="left"/>
              <w:rPr/>
            </w:pPr>
            <w:r>
              <w:rPr/>
              <w:t> </w:t>
            </w:r>
          </w:p>
        </w:tc>
      </w:tr>
      <w:tr>
        <w:trPr/>
        <w:tc>
          <w:tcPr>
            <w:tcW w:w="1406" w:type="dxa"/>
            <w:vMerge w:val="continue"/>
            <w:tcBorders/>
            <w:vAlign w:val="center"/>
          </w:tcPr>
          <w:p>
            <w:pPr>
              <w:pStyle w:val="Normal"/>
              <w:bidi w:val="0"/>
              <w:jc w:val="left"/>
              <w:rPr/>
            </w:pPr>
            <w:r>
              <w:rPr/>
            </w:r>
          </w:p>
        </w:tc>
        <w:tc>
          <w:tcPr>
            <w:tcW w:w="120" w:type="dxa"/>
            <w:tcBorders/>
            <w:shd w:fill="D5EBF6" w:val="clear"/>
            <w:vAlign w:val="center"/>
          </w:tcPr>
          <w:p>
            <w:pPr>
              <w:pStyle w:val="TableContents"/>
              <w:bidi w:val="0"/>
              <w:spacing w:before="0" w:after="283"/>
              <w:jc w:val="left"/>
              <w:rPr/>
            </w:pPr>
            <w:r>
              <w:rPr/>
              <w:t>  </w:t>
            </w:r>
          </w:p>
        </w:tc>
        <w:tc>
          <w:tcPr>
            <w:tcW w:w="8679" w:type="dxa"/>
            <w:tcBorders/>
            <w:shd w:fill="D5EBF6"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WINGDINGS" w:hAnsi="WINGDINGS"/>
                <w:sz w:val="22"/>
              </w:rPr>
              <w:t>Ø</w:t>
            </w:r>
            <w:r>
              <w:rPr>
                <w:rFonts w:ascii="ARIAL" w:hAnsi="ARIAL"/>
                <w:sz w:val="22"/>
              </w:rPr>
              <w:t>  The Chief Financial Officer assists in developing recommendations on performance goals and determining whether performance goals were attained by the Company under the Bonus Plan and LTIP</w:t>
            </w:r>
          </w:p>
          <w:p>
            <w:pPr>
              <w:pStyle w:val="TableContents"/>
              <w:bidi w:val="0"/>
              <w:spacing w:before="0" w:after="20"/>
              <w:jc w:val="left"/>
              <w:rPr/>
            </w:pPr>
            <w:r>
              <w:rPr/>
              <w:t> </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 xml:space="preserve">In making compensation decisions, the Committee considers several factors including competitive market data, individual and Company performance, skills, experience, complexity and criticality of role and internal pay equity. The Committee does not use a predetermined formula to make its overall decisions but considers all the above factors. However, in determining the performance-based component of compensation for the Company’s named executive officers in 2025, generally including annual incentive and long-term incentive compensation, the Committee tied payout levels to adjusted operating cash flow, adjusted earnings per share, core sales, FUEL productivity, weighted forecast accuracy, and adjusted operating income. Such performance goals are intended to align the majority of each named executive officer’s compensation with the Company’s strategy and with stockholders’ interests over the near and long term. As in 2024, the Committee included annual incentive performance goals for operational metrics to emphasize the importance of continuing to execute on the Company’s strategic operational objectives. In 2025, the Committee utilized performance goals at the corporate and segment level for the attainment of productivity savings and weighted forecast accuracy to drive productivity and profits, operational discipline and efficiency in the supply chain. </w:t>
      </w:r>
    </w:p>
    <w:p>
      <w:pPr>
        <w:pStyle w:val="TextBody"/>
        <w:bidi w:val="0"/>
        <w:spacing w:before="360" w:after="0"/>
        <w:jc w:val="left"/>
        <w:rPr>
          <w:rFonts w:ascii="ARIAL" w:hAnsi="ARIAL"/>
          <w:b/>
          <w:i/>
          <w:color w:val="248EC3"/>
          <w:sz w:val="22"/>
        </w:rPr>
      </w:pPr>
      <w:r>
        <w:rPr>
          <w:rFonts w:ascii="ARIAL" w:hAnsi="ARIAL"/>
          <w:b/>
          <w:i/>
          <w:color w:val="248EC3"/>
          <w:sz w:val="22"/>
        </w:rPr>
        <w:t xml:space="preserve">Stockholder Engagement </w:t>
      </w:r>
    </w:p>
    <w:p>
      <w:pPr>
        <w:pStyle w:val="TextBody"/>
        <w:bidi w:val="0"/>
        <w:spacing w:before="240" w:after="0"/>
        <w:jc w:val="both"/>
        <w:rPr>
          <w:rFonts w:ascii="ARIAL" w:hAnsi="ARIAL"/>
          <w:sz w:val="22"/>
        </w:rPr>
      </w:pPr>
      <w:r>
        <w:rPr>
          <w:rFonts w:ascii="ARIAL" w:hAnsi="ARIAL"/>
          <w:sz w:val="22"/>
        </w:rPr>
        <w:t xml:space="preserve">We value the views of our stockholders, and we believe that building positive relationships with our stockholders is critical to our long-term success. To help Company management and the Board understand and consider the issues that matter most to our stockholders, we periodically engage with our stockholders on a range of governance related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topics, including executive compensation. We then incorporate this feedback into our executive compensation program when we determine it is appropriate. During the Fall of 2025, the Company conducted outreach with the holders of approximately 57% of its outstanding common stock. We greatly value the input received through these meetings and intend to continue our stockholder outreach efforts going forward. </w:t>
      </w:r>
    </w:p>
    <w:p>
      <w:pPr>
        <w:pStyle w:val="TextBody"/>
        <w:bidi w:val="0"/>
        <w:spacing w:before="240" w:after="0"/>
        <w:jc w:val="both"/>
        <w:rPr>
          <w:rFonts w:ascii="ARIAL" w:hAnsi="ARIAL"/>
          <w:sz w:val="22"/>
        </w:rPr>
      </w:pPr>
      <w:r>
        <w:rPr>
          <w:rFonts w:ascii="ARIAL" w:hAnsi="ARIAL"/>
          <w:sz w:val="22"/>
        </w:rPr>
        <w:t>Pursuant to Section 14A of the Exchange Act, the Company is required to submit a Say on Pay Proposal to stockholders. The Company currently submits the Say on Pay Proposal annually to stockholders, with a vote being held at the Annual Meeting. See “</w:t>
      </w:r>
      <w:r>
        <w:rPr>
          <w:rFonts w:ascii="ARIAL" w:hAnsi="ARIAL"/>
          <w:i/>
          <w:sz w:val="22"/>
        </w:rPr>
        <w:t>Proposal 3—Advisory Resolution to Approve Named Executive Officer Compensation.</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At the 2025 Annual Meeting of Stockholders, the Say on Pay Proposal was approved by approximately 85% of votes cast, including abstentions. The Committee considered this level of approval to indicate the support of the substantial majority of the Company’s stockholders. While the Company did make certain adjustments to its executive compensation program, the Company did not make any changes as a direct result of the vote. </w:t>
      </w:r>
    </w:p>
    <w:p>
      <w:pPr>
        <w:pStyle w:val="TextBody"/>
        <w:bidi w:val="0"/>
        <w:spacing w:before="240" w:after="0"/>
        <w:jc w:val="left"/>
        <w:rPr>
          <w:rFonts w:ascii="ARIAL" w:hAnsi="ARIAL"/>
          <w:b/>
          <w:i/>
          <w:color w:val="248EC3"/>
          <w:sz w:val="22"/>
        </w:rPr>
      </w:pPr>
      <w:r>
        <w:rPr>
          <w:rFonts w:ascii="ARIAL" w:hAnsi="ARIAL"/>
          <w:b/>
          <w:i/>
          <w:color w:val="248EC3"/>
          <w:sz w:val="22"/>
        </w:rPr>
        <w:t xml:space="preserve">Custom Comparator Group </w:t>
      </w:r>
    </w:p>
    <w:p>
      <w:pPr>
        <w:pStyle w:val="TextBody"/>
        <w:bidi w:val="0"/>
        <w:spacing w:before="240" w:after="0"/>
        <w:jc w:val="both"/>
        <w:rPr>
          <w:rFonts w:ascii="ARIAL" w:hAnsi="ARIAL"/>
          <w:sz w:val="22"/>
        </w:rPr>
      </w:pPr>
      <w:r>
        <w:rPr>
          <w:rFonts w:ascii="ARIAL" w:hAnsi="ARIAL"/>
          <w:sz w:val="22"/>
        </w:rPr>
        <w:t xml:space="preserve">With respect to decisions concerning the compensation of the named executive officers in 2025, including setting 2025 LTIP award values, the Committee used the custom comparator group set forth below. The Committee selected this group to reflect, to varying degrees, companies of similar size, global presence, business complexity and brand recognition. This group reflects the following changes from the comparator group used in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the removal of two companies domiciled outside the United States, Electrolux AB and Reckitt Benckiser Group plc, due to limited disclosure of executive compensation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the removal of Helen of Troy Limited and Spectrum Brands Holding, Inc. and the replacement of General Mills, Inc. with Conagra Brands, Inc. (both food companies) to improve the size comparability of the comparator group relative to the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the removal of two building products companies, Masco Corporation and Fortune Brands Innovations, Inc., and the addition of Hanesbrands, Inc., a consumer-branded general merchandise manufacturer, to improve industry comparability. </w:t>
            </w:r>
          </w:p>
        </w:tc>
      </w:tr>
    </w:tbl>
    <w:p>
      <w:pPr>
        <w:pStyle w:val="TextBody"/>
        <w:bidi w:val="0"/>
        <w:spacing w:before="480" w:after="0"/>
        <w:jc w:val="center"/>
        <w:rPr>
          <w:rFonts w:ascii="ARIAL" w:hAnsi="ARIAL"/>
          <w:b/>
          <w:sz w:val="22"/>
          <w:u w:val="single"/>
        </w:rPr>
      </w:pPr>
      <w:r>
        <w:rPr>
          <w:rFonts w:ascii="ARIAL" w:hAnsi="ARIAL"/>
          <w:b/>
          <w:sz w:val="22"/>
          <w:u w:val="single"/>
        </w:rPr>
        <w:t xml:space="preserve">Custom Comparator Group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2810"/>
        <w:gridCol w:w="120"/>
        <w:gridCol w:w="2885"/>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2810" w:type="dxa"/>
            <w:tcBorders/>
            <w:shd w:fill="D5EBF6" w:val="clear"/>
            <w:vAlign w:val="center"/>
          </w:tcPr>
          <w:p>
            <w:pPr>
              <w:pStyle w:val="TableContents"/>
              <w:bidi w:val="0"/>
              <w:spacing w:before="0" w:after="283"/>
              <w:jc w:val="left"/>
              <w:rPr>
                <w:sz w:val="4"/>
                <w:szCs w:val="4"/>
              </w:rPr>
            </w:pPr>
            <w:r>
              <w:rPr>
                <w:sz w:val="4"/>
                <w:szCs w:val="4"/>
              </w:rPr>
            </w:r>
          </w:p>
        </w:tc>
        <w:tc>
          <w:tcPr>
            <w:tcW w:w="300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810" w:type="dxa"/>
            <w:tcBorders/>
            <w:shd w:fill="D5EBF6" w:val="clear"/>
            <w:vAlign w:val="center"/>
          </w:tcPr>
          <w:p>
            <w:pPr>
              <w:pStyle w:val="TableContents"/>
              <w:bidi w:val="0"/>
              <w:spacing w:before="0" w:after="0"/>
              <w:jc w:val="center"/>
              <w:rPr>
                <w:rFonts w:ascii="ARIAL" w:hAnsi="ARIAL"/>
                <w:sz w:val="22"/>
              </w:rPr>
            </w:pPr>
            <w:r>
              <w:rPr>
                <w:rFonts w:ascii="ARIAL" w:hAnsi="ARIAL"/>
                <w:sz w:val="22"/>
              </w:rPr>
              <w:t>Avery Dennison Corporation</w:t>
            </w:r>
          </w:p>
        </w:tc>
        <w:tc>
          <w:tcPr>
            <w:tcW w:w="120" w:type="dxa"/>
            <w:tcBorders/>
            <w:shd w:fill="D5EBF6" w:val="clear"/>
            <w:vAlign w:val="center"/>
          </w:tcPr>
          <w:p>
            <w:pPr>
              <w:pStyle w:val="TableContents"/>
              <w:bidi w:val="0"/>
              <w:spacing w:before="0" w:after="283"/>
              <w:jc w:val="left"/>
              <w:rPr/>
            </w:pPr>
            <w:r>
              <w:rPr/>
              <w:t>  </w:t>
            </w:r>
          </w:p>
        </w:tc>
        <w:tc>
          <w:tcPr>
            <w:tcW w:w="2885" w:type="dxa"/>
            <w:tcBorders/>
            <w:shd w:fill="D5EBF6" w:val="clear"/>
            <w:vAlign w:val="center"/>
          </w:tcPr>
          <w:p>
            <w:pPr>
              <w:pStyle w:val="TableContents"/>
              <w:bidi w:val="0"/>
              <w:spacing w:before="0" w:after="283"/>
              <w:jc w:val="center"/>
              <w:rPr/>
            </w:pPr>
            <w:r>
              <w:rPr/>
              <w:t>Kimberly-Clark Corporation</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3005"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0"/>
              <w:jc w:val="center"/>
              <w:rPr>
                <w:rFonts w:ascii="ARIAL" w:hAnsi="ARIAL"/>
                <w:sz w:val="22"/>
              </w:rPr>
            </w:pPr>
            <w:r>
              <w:rPr>
                <w:rFonts w:ascii="ARIAL" w:hAnsi="ARIAL"/>
                <w:sz w:val="22"/>
              </w:rPr>
              <w:t>Bath and Body Works, Inc.</w:t>
            </w:r>
          </w:p>
        </w:tc>
        <w:tc>
          <w:tcPr>
            <w:tcW w:w="1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pPr>
            <w:r>
              <w:rPr/>
              <w:t>Mattel, Inc.</w:t>
            </w:r>
          </w:p>
        </w:tc>
      </w:tr>
      <w:tr>
        <w:trPr/>
        <w:tc>
          <w:tcPr>
            <w:tcW w:w="2810" w:type="dxa"/>
            <w:tcBorders/>
            <w:shd w:fill="D5EBF6" w:val="clear"/>
            <w:vAlign w:val="center"/>
          </w:tcPr>
          <w:p>
            <w:pPr>
              <w:pStyle w:val="TableContents"/>
              <w:bidi w:val="0"/>
              <w:spacing w:before="0" w:after="283"/>
              <w:jc w:val="left"/>
              <w:rPr>
                <w:sz w:val="4"/>
                <w:szCs w:val="4"/>
              </w:rPr>
            </w:pPr>
            <w:r>
              <w:rPr>
                <w:sz w:val="4"/>
                <w:szCs w:val="4"/>
              </w:rPr>
            </w:r>
          </w:p>
        </w:tc>
        <w:tc>
          <w:tcPr>
            <w:tcW w:w="300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810" w:type="dxa"/>
            <w:tcBorders/>
            <w:shd w:fill="D5EBF6" w:val="clear"/>
            <w:vAlign w:val="center"/>
          </w:tcPr>
          <w:p>
            <w:pPr>
              <w:pStyle w:val="TableContents"/>
              <w:bidi w:val="0"/>
              <w:spacing w:before="0" w:after="0"/>
              <w:jc w:val="center"/>
              <w:rPr>
                <w:rFonts w:ascii="ARIAL" w:hAnsi="ARIAL"/>
                <w:sz w:val="22"/>
              </w:rPr>
            </w:pPr>
            <w:r>
              <w:rPr>
                <w:rFonts w:ascii="ARIAL" w:hAnsi="ARIAL"/>
                <w:sz w:val="22"/>
              </w:rPr>
              <w:t>Church &amp; Dwight Co., Inc.</w:t>
            </w:r>
          </w:p>
        </w:tc>
        <w:tc>
          <w:tcPr>
            <w:tcW w:w="120" w:type="dxa"/>
            <w:tcBorders/>
            <w:shd w:fill="D5EBF6" w:val="clear"/>
            <w:vAlign w:val="center"/>
          </w:tcPr>
          <w:p>
            <w:pPr>
              <w:pStyle w:val="TableContents"/>
              <w:bidi w:val="0"/>
              <w:spacing w:before="0" w:after="283"/>
              <w:jc w:val="left"/>
              <w:rPr/>
            </w:pPr>
            <w:r>
              <w:rPr/>
              <w:t>  </w:t>
            </w:r>
          </w:p>
        </w:tc>
        <w:tc>
          <w:tcPr>
            <w:tcW w:w="2885" w:type="dxa"/>
            <w:tcBorders/>
            <w:shd w:fill="D5EBF6" w:val="clear"/>
            <w:vAlign w:val="center"/>
          </w:tcPr>
          <w:p>
            <w:pPr>
              <w:pStyle w:val="TableContents"/>
              <w:bidi w:val="0"/>
              <w:spacing w:before="0" w:after="283"/>
              <w:jc w:val="center"/>
              <w:rPr/>
            </w:pPr>
            <w:r>
              <w:rPr/>
              <w:t>Stanley, Black &amp; Decker, Inc.</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3005"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0"/>
              <w:jc w:val="center"/>
              <w:rPr>
                <w:rFonts w:ascii="ARIAL" w:hAnsi="ARIAL"/>
                <w:sz w:val="22"/>
              </w:rPr>
            </w:pPr>
            <w:r>
              <w:rPr>
                <w:rFonts w:ascii="ARIAL" w:hAnsi="ARIAL"/>
                <w:sz w:val="22"/>
              </w:rPr>
              <w:t>Colgate-Palmolive Company</w:t>
            </w:r>
          </w:p>
        </w:tc>
        <w:tc>
          <w:tcPr>
            <w:tcW w:w="1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pPr>
            <w:r>
              <w:rPr/>
              <w:t>The Clorox Company</w:t>
            </w:r>
          </w:p>
        </w:tc>
      </w:tr>
      <w:tr>
        <w:trPr/>
        <w:tc>
          <w:tcPr>
            <w:tcW w:w="2810" w:type="dxa"/>
            <w:tcBorders/>
            <w:shd w:fill="D5EBF6" w:val="clear"/>
            <w:vAlign w:val="center"/>
          </w:tcPr>
          <w:p>
            <w:pPr>
              <w:pStyle w:val="TableContents"/>
              <w:bidi w:val="0"/>
              <w:spacing w:before="0" w:after="283"/>
              <w:jc w:val="left"/>
              <w:rPr>
                <w:sz w:val="4"/>
                <w:szCs w:val="4"/>
              </w:rPr>
            </w:pPr>
            <w:r>
              <w:rPr>
                <w:sz w:val="4"/>
                <w:szCs w:val="4"/>
              </w:rPr>
            </w:r>
          </w:p>
        </w:tc>
        <w:tc>
          <w:tcPr>
            <w:tcW w:w="300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810" w:type="dxa"/>
            <w:tcBorders/>
            <w:shd w:fill="D5EBF6" w:val="clear"/>
            <w:vAlign w:val="center"/>
          </w:tcPr>
          <w:p>
            <w:pPr>
              <w:pStyle w:val="TableContents"/>
              <w:bidi w:val="0"/>
              <w:spacing w:before="0" w:after="0"/>
              <w:jc w:val="center"/>
              <w:rPr>
                <w:rFonts w:ascii="ARIAL" w:hAnsi="ARIAL"/>
                <w:sz w:val="22"/>
              </w:rPr>
            </w:pPr>
            <w:r>
              <w:rPr>
                <w:rFonts w:ascii="ARIAL" w:hAnsi="ARIAL"/>
                <w:sz w:val="22"/>
              </w:rPr>
              <w:t>Conagra Brands, Inc.</w:t>
            </w:r>
          </w:p>
        </w:tc>
        <w:tc>
          <w:tcPr>
            <w:tcW w:w="120" w:type="dxa"/>
            <w:tcBorders/>
            <w:shd w:fill="D5EBF6" w:val="clear"/>
            <w:vAlign w:val="center"/>
          </w:tcPr>
          <w:p>
            <w:pPr>
              <w:pStyle w:val="TableContents"/>
              <w:bidi w:val="0"/>
              <w:spacing w:before="0" w:after="283"/>
              <w:jc w:val="left"/>
              <w:rPr/>
            </w:pPr>
            <w:r>
              <w:rPr/>
              <w:t>  </w:t>
            </w:r>
          </w:p>
        </w:tc>
        <w:tc>
          <w:tcPr>
            <w:tcW w:w="2885" w:type="dxa"/>
            <w:tcBorders/>
            <w:shd w:fill="D5EBF6" w:val="clear"/>
            <w:vAlign w:val="center"/>
          </w:tcPr>
          <w:p>
            <w:pPr>
              <w:pStyle w:val="TableContents"/>
              <w:bidi w:val="0"/>
              <w:spacing w:before="0" w:after="283"/>
              <w:jc w:val="center"/>
              <w:rPr/>
            </w:pPr>
            <w:r>
              <w:rPr/>
              <w:t>VF Corporation</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3005"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0"/>
              <w:jc w:val="center"/>
              <w:rPr>
                <w:rFonts w:ascii="ARIAL" w:hAnsi="ARIAL"/>
                <w:sz w:val="22"/>
              </w:rPr>
            </w:pPr>
            <w:r>
              <w:rPr>
                <w:rFonts w:ascii="ARIAL" w:hAnsi="ARIAL"/>
                <w:sz w:val="22"/>
              </w:rPr>
              <w:t>Hanesbrands, Inc.</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center"/>
              <w:rPr>
                <w:rFonts w:ascii="ARIAL" w:hAnsi="ARIAL"/>
                <w:sz w:val="22"/>
              </w:rPr>
            </w:pPr>
            <w:r>
              <w:rPr>
                <w:rFonts w:ascii="ARIAL" w:hAnsi="ARIAL"/>
                <w:sz w:val="22"/>
              </w:rPr>
              <w:t>Whirlpool Corporation</w:t>
            </w:r>
          </w:p>
          <w:p>
            <w:pPr>
              <w:pStyle w:val="TableContents"/>
              <w:bidi w:val="0"/>
              <w:spacing w:before="0" w:after="20"/>
              <w:jc w:val="left"/>
              <w:rPr/>
            </w:pPr>
            <w:r>
              <w:rPr/>
              <w:t> </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u w:val="single"/>
        </w:rPr>
      </w:pPr>
      <w:r>
        <w:rPr>
          <w:rFonts w:ascii="ARIAL" w:hAnsi="ARIAL"/>
          <w:i/>
          <w:sz w:val="22"/>
          <w:u w:val="single"/>
        </w:rPr>
        <w:t xml:space="preserve">Compensation Survey Data </w:t>
      </w:r>
    </w:p>
    <w:p>
      <w:pPr>
        <w:pStyle w:val="TextBody"/>
        <w:bidi w:val="0"/>
        <w:spacing w:before="240" w:after="0"/>
        <w:jc w:val="both"/>
        <w:rPr>
          <w:rFonts w:ascii="ARIAL" w:hAnsi="ARIAL"/>
          <w:sz w:val="22"/>
        </w:rPr>
      </w:pPr>
      <w:r>
        <w:rPr>
          <w:rFonts w:ascii="ARIAL" w:hAnsi="ARIAL"/>
          <w:sz w:val="22"/>
        </w:rPr>
        <w:t xml:space="preserve">The Committee periodically compares the Company’s executive compensation program to the compensation practices of companies in both the custom comparator group and across general industry. In 2025, the Company used competitive practice, peer company and general industry information as a reference for decisions regarding: </w:t>
      </w:r>
    </w:p>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70"/>
        <w:gridCol w:w="60"/>
        <w:gridCol w:w="6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both"/>
              <w:rPr>
                <w:rFonts w:ascii="ARIAL" w:hAnsi="ARIAL"/>
                <w:sz w:val="22"/>
              </w:rPr>
            </w:pPr>
            <w:r>
              <w:rPr>
                <w:rFonts w:ascii="ARIAL" w:hAnsi="ARIAL"/>
                <w:sz w:val="22"/>
              </w:rPr>
              <w:t xml:space="preserve">the mix of executive compensation that is annual and long-term;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70"/>
        <w:gridCol w:w="6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both"/>
              <w:rPr>
                <w:rFonts w:ascii="ARIAL" w:hAnsi="ARIAL"/>
                <w:sz w:val="22"/>
              </w:rPr>
            </w:pPr>
            <w:r>
              <w:rPr>
                <w:rFonts w:ascii="ARIAL" w:hAnsi="ARIAL"/>
                <w:sz w:val="22"/>
              </w:rPr>
              <w:t xml:space="preserve">the portion of total compensation that is equity or cash;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levels of total direct compensation, both the total and for each element (salary, annual incentive opportunities and long-term incentive opportunities); and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70"/>
        <w:gridCol w:w="60"/>
        <w:gridCol w:w="9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both"/>
              <w:rPr>
                <w:rFonts w:ascii="ARIAL" w:hAnsi="ARIAL"/>
                <w:sz w:val="22"/>
              </w:rPr>
            </w:pPr>
            <w:r>
              <w:rPr>
                <w:rFonts w:ascii="ARIAL" w:hAnsi="ARIAL"/>
                <w:sz w:val="22"/>
              </w:rPr>
              <w:t xml:space="preserve">adjustments to the amount, types and allocation of long-term incentive awards granted in 2025. </w:t>
            </w:r>
          </w:p>
        </w:tc>
      </w:tr>
    </w:tbl>
    <w:p>
      <w:pPr>
        <w:pStyle w:val="TextBody"/>
        <w:bidi w:val="0"/>
        <w:spacing w:before="360" w:after="0"/>
        <w:jc w:val="left"/>
        <w:rPr>
          <w:rFonts w:ascii="ARIAL" w:hAnsi="ARIAL"/>
          <w:b/>
          <w:i/>
          <w:color w:val="248EC3"/>
          <w:sz w:val="22"/>
        </w:rPr>
      </w:pPr>
      <w:r>
        <w:rPr>
          <w:rFonts w:ascii="ARIAL" w:hAnsi="ARIAL"/>
          <w:b/>
          <w:i/>
          <w:color w:val="248EC3"/>
          <w:sz w:val="22"/>
        </w:rPr>
        <w:t xml:space="preserve">Setting Target Compensation </w:t>
      </w:r>
    </w:p>
    <w:p>
      <w:pPr>
        <w:pStyle w:val="TextBody"/>
        <w:bidi w:val="0"/>
        <w:spacing w:before="240" w:after="0"/>
        <w:jc w:val="both"/>
        <w:rPr>
          <w:rFonts w:ascii="ARIAL" w:hAnsi="ARIAL"/>
          <w:sz w:val="22"/>
        </w:rPr>
      </w:pPr>
      <w:r>
        <w:rPr>
          <w:rFonts w:ascii="ARIAL" w:hAnsi="ARIAL"/>
          <w:sz w:val="22"/>
        </w:rPr>
        <w:t>The Committee establishes target total direct compensation opportunities for the named executive officers based on the following factors: individual performance, breadth of the executive’s responsibility, strategic importance of the position, internal pay equity, competitive market data, the circumstances surrounding the executive’s initial hiring or promotion to a position with increased responsibilities and the desire to promote executive retention.</w:t>
      </w:r>
    </w:p>
    <w:p>
      <w:pPr>
        <w:pStyle w:val="TextBody"/>
        <w:bidi w:val="0"/>
        <w:spacing w:before="240" w:after="0"/>
        <w:jc w:val="both"/>
        <w:rPr>
          <w:rFonts w:ascii="ARIAL" w:hAnsi="ARIAL"/>
          <w:sz w:val="22"/>
        </w:rPr>
      </w:pPr>
      <w:r>
        <w:rPr>
          <w:rFonts w:ascii="ARIAL" w:hAnsi="ARIAL"/>
          <w:sz w:val="22"/>
        </w:rPr>
        <w:t xml:space="preserve">The Committee periodically reviews total direct compensation summary reports, which identify key elements of the compensation paid to or realizable by each executive officer. The summary reports are used to evaluate overall pay and benefit levels and provide additional perspective on how the executive compensation program meets the Company’s compensation objectives. </w:t>
      </w:r>
    </w:p>
    <w:p>
      <w:pPr>
        <w:pStyle w:val="TextBody"/>
        <w:bidi w:val="0"/>
        <w:spacing w:before="240" w:after="0"/>
        <w:jc w:val="both"/>
        <w:rPr>
          <w:rFonts w:ascii="ARIAL" w:hAnsi="ARIAL"/>
          <w:sz w:val="22"/>
        </w:rPr>
      </w:pPr>
      <w:r>
        <w:rPr>
          <w:rFonts w:ascii="ARIAL" w:hAnsi="ARIAL"/>
          <w:sz w:val="22"/>
        </w:rPr>
        <w:t>Each element of the compensation program complements the others and, together, they are intended to achieve the Committee’s principal compensation objectives. While the Committee does not apply a formulaic approach to setting individual elements of the named executive officers’ compensation or their total compensation amounts, the impact on the total value of all these elements of compensation for the individual is considered.</w:t>
      </w:r>
    </w:p>
    <w:p>
      <w:pPr>
        <w:pStyle w:val="TextBody"/>
        <w:bidi w:val="0"/>
        <w:spacing w:before="240" w:after="0"/>
        <w:jc w:val="both"/>
        <w:rPr>
          <w:rFonts w:ascii="ARIAL" w:hAnsi="ARIAL"/>
          <w:sz w:val="22"/>
        </w:rPr>
      </w:pPr>
      <w:r>
        <w:rPr>
          <w:rFonts w:ascii="ARIAL" w:hAnsi="ARIAL"/>
          <w:sz w:val="22"/>
        </w:rPr>
        <w:t xml:space="preserve">The 2025 Summary Compensation Table shows the compensation of each named executive officer for the fiscal year ended December 31, 2025. </w:t>
      </w:r>
    </w:p>
    <w:p>
      <w:pPr>
        <w:pStyle w:val="TextBody"/>
        <w:bidi w:val="0"/>
        <w:spacing w:before="360" w:after="0"/>
        <w:jc w:val="left"/>
        <w:rPr>
          <w:rFonts w:ascii="ARIAL" w:hAnsi="ARIAL"/>
          <w:b/>
          <w:i/>
          <w:color w:val="248EC3"/>
          <w:sz w:val="22"/>
        </w:rPr>
      </w:pPr>
      <w:r>
        <w:rPr>
          <w:rFonts w:ascii="ARIAL" w:hAnsi="ARIAL"/>
          <w:b/>
          <w:i/>
          <w:color w:val="248EC3"/>
          <w:sz w:val="22"/>
        </w:rPr>
        <w:t xml:space="preserve">Mix of Pay </w:t>
      </w:r>
    </w:p>
    <w:p>
      <w:pPr>
        <w:pStyle w:val="TextBody"/>
        <w:bidi w:val="0"/>
        <w:spacing w:before="240" w:after="0"/>
        <w:jc w:val="both"/>
        <w:rPr>
          <w:rFonts w:ascii="ARIAL" w:hAnsi="ARIAL"/>
          <w:sz w:val="22"/>
        </w:rPr>
      </w:pPr>
      <w:r>
        <w:rPr>
          <w:rFonts w:ascii="ARIAL" w:hAnsi="ARIAL"/>
          <w:sz w:val="22"/>
        </w:rPr>
        <w:t xml:space="preserve">Target total direct compensation for each of the named executive officers includes the executive’s base salary and target bonus opportunity plus the target value of the executive’s annual LTIP award. To reinforce the Company’s pay for performance philosophy, the Committee and the independent members of the Board, at the Committee’s recommendation, approved a target total direct compensation package for 2025 for Mr. Peterson that was in the aggregate 89% at risk and 54% contingent on performance. In addition, in 2025, approximately 79% of target total direct compensation for other named executive officers (on average) was at risk and approximately 50% was contingent upon performance. As a result, realized compensation is highly dependent on the Company’s financial results and share price. The Committee believes this approach aligns the interests of executives with those of stockholders and motivates them to consider the impact of their decisions on stockholder value.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2"/>
        </w:rPr>
      </w:pPr>
      <w:r>
        <w:rPr>
          <w:rFonts w:ascii="ARIAL" w:hAnsi="ARIAL"/>
          <w:b/>
          <w:sz w:val="22"/>
        </w:rPr>
        <w:t xml:space="preserve">2025 Target Annual Compensation Mix and “Pay at Risk”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6"/>
        <w:gridCol w:w="60"/>
        <w:gridCol w:w="3251"/>
        <w:gridCol w:w="60"/>
        <w:gridCol w:w="140"/>
        <w:gridCol w:w="120"/>
        <w:gridCol w:w="1434"/>
        <w:gridCol w:w="60"/>
        <w:gridCol w:w="1162"/>
        <w:gridCol w:w="1162"/>
        <w:gridCol w:w="1310"/>
      </w:tblGrid>
      <w:tr>
        <w:trPr/>
        <w:tc>
          <w:tcPr>
            <w:tcW w:w="1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446" w:type="dxa"/>
            <w:tcBorders>
              <w:bottom w:val="single" w:sz="6" w:space="0" w:color="000000"/>
            </w:tcBorders>
            <w:tcMar>
              <w:bottom w:w="120" w:type="dxa"/>
            </w:tcMar>
            <w:vAlign w:val="center"/>
          </w:tcPr>
          <w:p>
            <w:pPr>
              <w:pStyle w:val="TableContents"/>
              <w:bidi w:val="0"/>
              <w:spacing w:before="0" w:after="283"/>
              <w:jc w:val="center"/>
              <w:rPr>
                <w:b/>
              </w:rPr>
            </w:pPr>
            <w:r>
              <w:rPr>
                <w:b/>
              </w:rPr>
              <w:t>CEO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51"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4" w:type="dxa"/>
            <w:tcBorders>
              <w:bottom w:val="single" w:sz="6" w:space="0" w:color="000000"/>
            </w:tcBorders>
            <w:tcMar>
              <w:bottom w:w="120" w:type="dxa"/>
            </w:tcMar>
            <w:vAlign w:val="center"/>
          </w:tcPr>
          <w:p>
            <w:pPr>
              <w:pStyle w:val="TableContents"/>
              <w:bidi w:val="0"/>
              <w:spacing w:before="0" w:after="0"/>
              <w:jc w:val="center"/>
              <w:rPr>
                <w:rFonts w:ascii="ARIAL" w:hAnsi="ARIAL"/>
                <w:b/>
                <w:sz w:val="22"/>
              </w:rPr>
            </w:pPr>
            <w:r>
              <w:rPr>
                <w:rFonts w:ascii="ARIAL" w:hAnsi="ARIAL"/>
                <w:b/>
                <w:sz w:val="22"/>
              </w:rPr>
              <w:t>Other</w:t>
            </w:r>
          </w:p>
          <w:p>
            <w:pPr>
              <w:pStyle w:val="TableContents"/>
              <w:bidi w:val="0"/>
              <w:spacing w:before="0" w:after="20"/>
              <w:jc w:val="center"/>
              <w:rPr>
                <w:rFonts w:ascii="ARIAL" w:hAnsi="ARIAL"/>
                <w:b/>
                <w:sz w:val="22"/>
              </w:rPr>
            </w:pPr>
            <w:r>
              <w:rPr>
                <w:rFonts w:ascii="ARIAL" w:hAnsi="ARIAL"/>
                <w:b/>
                <w:sz w:val="22"/>
              </w:rPr>
              <w:t>NEOs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2" w:type="dxa"/>
            <w:tcBorders>
              <w:bottom w:val="single" w:sz="6" w:space="0" w:color="000000"/>
            </w:tcBorders>
            <w:tcMar>
              <w:bottom w:w="28" w:type="dxa"/>
            </w:tcMar>
            <w:vAlign w:val="center"/>
          </w:tcPr>
          <w:p>
            <w:pPr>
              <w:pStyle w:val="TableContents"/>
              <w:bidi w:val="0"/>
              <w:spacing w:before="0" w:after="283"/>
              <w:jc w:val="left"/>
              <w:rPr/>
            </w:pPr>
            <w:r>
              <w:rPr/>
              <w:t>  </w:t>
            </w:r>
          </w:p>
        </w:tc>
        <w:tc>
          <w:tcPr>
            <w:tcW w:w="1162"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46" w:type="dxa"/>
            <w:tcBorders>
              <w:bottom w:val="single" w:sz="6" w:space="0" w:color="000000"/>
            </w:tcBorders>
            <w:tcMar>
              <w:bottom w:w="28" w:type="dxa"/>
            </w:tcMar>
            <w:vAlign w:val="center"/>
          </w:tcPr>
          <w:p>
            <w:pPr>
              <w:pStyle w:val="TableContents"/>
              <w:bidi w:val="0"/>
              <w:spacing w:before="0" w:after="20"/>
              <w:jc w:val="both"/>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51"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4"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2" w:type="dxa"/>
            <w:tcBorders>
              <w:bottom w:val="single" w:sz="6" w:space="0" w:color="000000"/>
            </w:tcBorders>
            <w:tcMar>
              <w:bottom w:w="28" w:type="dxa"/>
            </w:tcMar>
            <w:vAlign w:val="center"/>
          </w:tcPr>
          <w:p>
            <w:pPr>
              <w:pStyle w:val="TableContents"/>
              <w:bidi w:val="0"/>
              <w:spacing w:before="0" w:after="283"/>
              <w:jc w:val="left"/>
              <w:rPr/>
            </w:pPr>
            <w:r>
              <w:rPr/>
              <w:t> </w:t>
            </w:r>
          </w:p>
        </w:tc>
        <w:tc>
          <w:tcPr>
            <w:tcW w:w="1162"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46" w:type="dxa"/>
            <w:tcBorders/>
            <w:vAlign w:val="center"/>
          </w:tcPr>
          <w:p>
            <w:pPr>
              <w:pStyle w:val="TableContents"/>
              <w:bidi w:val="0"/>
              <w:spacing w:before="0" w:after="283"/>
              <w:jc w:val="left"/>
              <w:rPr>
                <w:sz w:val="4"/>
                <w:szCs w:val="4"/>
              </w:rPr>
            </w:pPr>
            <w:r>
              <w:rPr>
                <w:sz w:val="4"/>
                <w:szCs w:val="4"/>
              </w:rPr>
            </w:r>
          </w:p>
        </w:tc>
        <w:tc>
          <w:tcPr>
            <w:tcW w:w="3311"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1554" w:type="dxa"/>
            <w:gridSpan w:val="2"/>
            <w:tcBorders/>
            <w:vAlign w:val="center"/>
          </w:tcPr>
          <w:p>
            <w:pPr>
              <w:pStyle w:val="TableContents"/>
              <w:bidi w:val="0"/>
              <w:spacing w:before="0" w:after="283"/>
              <w:jc w:val="left"/>
              <w:rPr>
                <w:sz w:val="4"/>
                <w:szCs w:val="4"/>
              </w:rPr>
            </w:pPr>
            <w:r>
              <w:rPr>
                <w:sz w:val="4"/>
                <w:szCs w:val="4"/>
              </w:rPr>
            </w:r>
          </w:p>
        </w:tc>
        <w:tc>
          <w:tcPr>
            <w:tcW w:w="3694" w:type="dxa"/>
            <w:gridSpan w:val="4"/>
            <w:tcBorders/>
            <w:vAlign w:val="center"/>
          </w:tcPr>
          <w:p>
            <w:pPr>
              <w:pStyle w:val="TableContents"/>
              <w:bidi w:val="0"/>
              <w:spacing w:before="0" w:after="283"/>
              <w:jc w:val="left"/>
              <w:rPr>
                <w:sz w:val="4"/>
                <w:szCs w:val="4"/>
              </w:rPr>
            </w:pPr>
            <w:r>
              <w:rPr>
                <w:sz w:val="4"/>
                <w:szCs w:val="4"/>
              </w:rPr>
            </w:r>
          </w:p>
        </w:tc>
      </w:tr>
      <w:tr>
        <w:trPr/>
        <w:tc>
          <w:tcPr>
            <w:tcW w:w="1446" w:type="dxa"/>
            <w:tcBorders/>
            <w:vAlign w:val="center"/>
          </w:tcPr>
          <w:p>
            <w:pPr>
              <w:pStyle w:val="TableContents"/>
              <w:bidi w:val="0"/>
              <w:spacing w:before="0" w:after="283"/>
              <w:jc w:val="left"/>
              <w:rPr/>
            </w:pPr>
            <w:r>
              <w:rPr/>
              <w:drawing>
                <wp:inline distT="0" distB="0" distL="0" distR="0">
                  <wp:extent cx="904875" cy="238569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04875" cy="23856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89% of annualized target total direct compensation was at risk</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54% of annualized target total direct compensation was contingent on performance</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19% of annualized target total direct compensation was tied to achievement of annual incentive goals, and 35% was tied to achievement of long-term incentive goals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both"/>
              <w:rPr/>
            </w:pPr>
            <w:r>
              <w:rPr/>
              <w:t> </w:t>
            </w:r>
          </w:p>
        </w:tc>
        <w:tc>
          <w:tcPr>
            <w:tcW w:w="120"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center"/>
              <w:rPr/>
            </w:pPr>
            <w:r>
              <w:rPr/>
              <w:drawing>
                <wp:inline distT="0" distB="0" distL="0" distR="0">
                  <wp:extent cx="906780" cy="237617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06780" cy="23761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634" w:type="dxa"/>
            <w:gridSpan w:val="3"/>
            <w:tcBorders/>
            <w:vAlign w:val="center"/>
          </w:tcPr>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79% of annualized target total direct compensation for the other NEOs (on average) was at risk</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50% of annualized target total direct compensation for the other NEOs (on average) was contingent on performance</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21% of annualized target total direct compensation of the other NEOs (on average) was tied to achievement of annual incentive goals, and 29% was tied to achievement of long-term incentive goals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1574" w:type="dxa"/>
        <w:jc w:val="left"/>
        <w:tblInd w:w="0" w:type="dxa"/>
        <w:tblLayout w:type="fixed"/>
        <w:tblCellMar>
          <w:top w:w="0" w:type="dxa"/>
          <w:left w:w="0" w:type="dxa"/>
          <w:bottom w:w="0" w:type="dxa"/>
          <w:right w:w="0" w:type="dxa"/>
        </w:tblCellMar>
      </w:tblPr>
      <w:tblGrid>
        <w:gridCol w:w="38"/>
        <w:gridCol w:w="60"/>
        <w:gridCol w:w="137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78" w:type="dxa"/>
            <w:tcBorders>
              <w:bottom w:val="single" w:sz="6" w:space="0" w:color="000000"/>
              <w:right w:val="single" w:sz="6" w:space="0" w:color="000000"/>
            </w:tcBorders>
            <w:tcMar>
              <w:bottom w:w="80" w:type="dxa"/>
              <w:right w:w="28" w:type="dxa"/>
            </w:tcMar>
            <w:vAlign w:val="center"/>
          </w:tcPr>
          <w:p>
            <w:pPr>
              <w:pStyle w:val="TableContents"/>
              <w:bidi w:val="0"/>
              <w:spacing w:before="0" w:after="283"/>
              <w:jc w:val="center"/>
              <w:rPr/>
            </w:pPr>
            <w:r>
              <w:rPr/>
              <w:drawing>
                <wp:inline distT="0" distB="0" distL="0" distR="0">
                  <wp:extent cx="81280" cy="8128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1280" cy="81280"/>
                          </a:xfrm>
                          <a:prstGeom prst="rect">
                            <a:avLst/>
                          </a:prstGeom>
                        </pic:spPr>
                      </pic:pic>
                    </a:graphicData>
                  </a:graphic>
                </wp:inline>
              </w:drawing>
            </w:r>
            <w:r>
              <w:rPr/>
              <w:t xml:space="preserve">  </w:t>
            </w:r>
            <w:r>
              <w:rPr/>
              <w:t>At risk pay</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0" w:type="dxa"/>
            <w:tcBorders>
              <w:bottom w:val="single" w:sz="6" w:space="0" w:color="000000"/>
            </w:tcBorders>
            <w:tcMar>
              <w:bottom w:w="28" w:type="dxa"/>
            </w:tcMar>
            <w:vAlign w:val="center"/>
          </w:tcPr>
          <w:p>
            <w:pPr>
              <w:pStyle w:val="TableContents"/>
              <w:bidi w:val="0"/>
              <w:spacing w:before="0" w:after="20"/>
              <w:jc w:val="both"/>
              <w:rPr/>
            </w:pPr>
            <w:r>
              <w:rPr/>
              <w:t> </w:t>
            </w:r>
          </w:p>
        </w:tc>
      </w:tr>
    </w:tbl>
    <w:p>
      <w:pPr>
        <w:pStyle w:val="TextBody"/>
        <w:bidi w:val="0"/>
        <w:spacing w:before="240" w:after="0"/>
        <w:jc w:val="left"/>
        <w:rPr>
          <w:rFonts w:ascii="ARIAL" w:hAnsi="ARIAL"/>
          <w:b/>
          <w:i/>
          <w:color w:val="248EC3"/>
          <w:sz w:val="22"/>
        </w:rPr>
      </w:pPr>
      <w:r>
        <w:rPr>
          <w:rFonts w:ascii="ARIAL" w:hAnsi="ARIAL"/>
          <w:b/>
          <w:i/>
          <w:color w:val="248EC3"/>
          <w:sz w:val="22"/>
        </w:rPr>
        <w:t xml:space="preserve">Consideration of Individual Performance </w:t>
      </w:r>
    </w:p>
    <w:p>
      <w:pPr>
        <w:pStyle w:val="TextBody"/>
        <w:bidi w:val="0"/>
        <w:spacing w:before="120" w:after="0"/>
        <w:jc w:val="both"/>
        <w:rPr>
          <w:rFonts w:ascii="ARIAL" w:hAnsi="ARIAL"/>
          <w:sz w:val="22"/>
        </w:rPr>
      </w:pPr>
      <w:r>
        <w:rPr>
          <w:rFonts w:ascii="ARIAL" w:hAnsi="ARIAL"/>
          <w:sz w:val="22"/>
        </w:rPr>
        <w:t xml:space="preserve">At the beginning of the year, the CEO discusses with the Committee the CEO’s individual performance objectives and priorities. In addition, as part of the Company’s annual performance evaluation process, the CEO and each other named executive officer establish that officer’s individual performance objectives for the coming year. These performance objectives are not specifically weighted or otherwise intended to be formulaic, but rather serve as the framework upon which the Committee or the CEO evaluates the named executive officer’s overall performance. The evaluation of a named executive officer’s performance relative to these objectives involves judgment based on observations of, and interaction with, the executive throughout the year. No single performance objective determines the evaluation of the named executive officer’s performance; however, these performance goals, which reinforce alignment of Company and stockholder interests, are critical to the evaluation of each named executive officer. The Committee takes into consideration the CEO’s performance when developing his base salary increase, if any, annual incentive target amounts and long-term incentive grant value, which compensation elements are discussed in more detail below. The CEO’s evaluation of individual performance is considered when he recommends to the Committee, in the case of other named executive officers, base salary adjustments, annual incentive targets and equity grant values.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color w:val="248EC3"/>
          <w:sz w:val="22"/>
        </w:rPr>
      </w:pPr>
      <w:r>
        <w:rPr>
          <w:rFonts w:ascii="ARIAL" w:hAnsi="ARIAL"/>
          <w:b/>
          <w:i/>
          <w:color w:val="248EC3"/>
          <w:sz w:val="22"/>
        </w:rPr>
        <w:t xml:space="preserve">Key Elements of Executive Compensation </w:t>
      </w:r>
    </w:p>
    <w:p>
      <w:pPr>
        <w:pStyle w:val="TextBody"/>
        <w:bidi w:val="0"/>
        <w:spacing w:before="240" w:after="0"/>
        <w:jc w:val="left"/>
        <w:rPr>
          <w:rFonts w:ascii="ARIAL" w:hAnsi="ARIAL"/>
          <w:i/>
          <w:sz w:val="22"/>
          <w:u w:val="single"/>
        </w:rPr>
      </w:pPr>
      <w:r>
        <w:rPr>
          <w:rFonts w:ascii="ARIAL" w:hAnsi="ARIAL"/>
          <w:i/>
          <w:sz w:val="22"/>
          <w:u w:val="single"/>
        </w:rPr>
        <w:t xml:space="preserve">Salary </w:t>
      </w:r>
    </w:p>
    <w:p>
      <w:pPr>
        <w:pStyle w:val="TextBody"/>
        <w:bidi w:val="0"/>
        <w:spacing w:before="240" w:after="0"/>
        <w:jc w:val="both"/>
        <w:rPr>
          <w:rFonts w:ascii="ARIAL" w:hAnsi="ARIAL"/>
          <w:sz w:val="22"/>
        </w:rPr>
      </w:pPr>
      <w:r>
        <w:rPr>
          <w:rFonts w:ascii="ARIAL" w:hAnsi="ARIAL"/>
          <w:sz w:val="22"/>
        </w:rPr>
        <w:t>Salaries provide a predictable, fixed cost element of compensation to attract and retain qualified executives. Base salary provides executives with a certain level of income based on the factors outlined above in “</w:t>
      </w:r>
      <w:r>
        <w:rPr>
          <w:rFonts w:ascii="ARIAL" w:hAnsi="ARIAL"/>
          <w:i/>
          <w:sz w:val="22"/>
        </w:rPr>
        <w:t>Setting Compensation Opportunity</w:t>
      </w:r>
      <w:r>
        <w:rPr>
          <w:rFonts w:ascii="ARIAL" w:hAnsi="ARIAL"/>
          <w:sz w:val="22"/>
        </w:rPr>
        <w:t xml:space="preserve">.” Effective March 1, 2025, the independent members of the Board, on the Committee’s recommendation, approved a $50,000 increase in Mr. Peterson’s annual base salary, and the Committee approved a $30,000 increase in Ms. Platt’s annual base salary and a $25,000 increase in the annual base salary for each of Messrs. Erceg and Turner and Ms. Malkoski, in each case based on the Committee’s consideration of market data and evaluation of each individual’s performance in 2024. </w:t>
      </w:r>
    </w:p>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2630"/>
        <w:gridCol w:w="60"/>
        <w:gridCol w:w="2900"/>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tcMar>
              <w:bottom w:w="40" w:type="dxa"/>
            </w:tcMar>
            <w:vAlign w:val="center"/>
          </w:tcPr>
          <w:p>
            <w:pPr>
              <w:pStyle w:val="TableContents"/>
              <w:bidi w:val="0"/>
              <w:spacing w:before="0" w:after="283"/>
              <w:jc w:val="left"/>
              <w:rPr/>
            </w:pPr>
            <w:r>
              <w:rPr/>
              <w:t> </w:t>
            </w:r>
            <w:r>
              <w:rPr>
                <w:b/>
              </w:rPr>
              <w:t>Named Executive Officer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900" w:type="dxa"/>
            <w:tcBorders>
              <w:bottom w:val="single" w:sz="6" w:space="0" w:color="000000"/>
            </w:tcBorders>
            <w:tcMar>
              <w:bottom w:w="40" w:type="dxa"/>
            </w:tcMar>
            <w:vAlign w:val="center"/>
          </w:tcPr>
          <w:p>
            <w:pPr>
              <w:pStyle w:val="TableContents"/>
              <w:bidi w:val="0"/>
              <w:spacing w:before="0" w:after="283"/>
              <w:jc w:val="center"/>
              <w:rPr>
                <w:b/>
              </w:rPr>
            </w:pPr>
            <w:r>
              <w:rPr>
                <w:b/>
              </w:rPr>
              <w:t>2025 Final Base Salary Rate</w:t>
            </w:r>
          </w:p>
        </w:tc>
      </w:tr>
      <w:tr>
        <w:trPr/>
        <w:tc>
          <w:tcPr>
            <w:tcW w:w="263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9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D5EBF6" w:val="clear"/>
            <w:vAlign w:val="center"/>
          </w:tcPr>
          <w:p>
            <w:pPr>
              <w:pStyle w:val="TableContents"/>
              <w:bidi w:val="0"/>
              <w:spacing w:before="0" w:after="283"/>
              <w:jc w:val="left"/>
              <w:rPr>
                <w:sz w:val="4"/>
                <w:szCs w:val="4"/>
              </w:rPr>
            </w:pPr>
            <w:r>
              <w:rPr>
                <w:sz w:val="4"/>
                <w:szCs w:val="4"/>
              </w:rPr>
            </w:r>
          </w:p>
        </w:tc>
        <w:tc>
          <w:tcPr>
            <w:tcW w:w="296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30" w:type="dxa"/>
            <w:tcBorders/>
            <w:shd w:fill="D5EBF6" w:val="clear"/>
            <w:vAlign w:val="center"/>
          </w:tcPr>
          <w:p>
            <w:pPr>
              <w:pStyle w:val="TableContents"/>
              <w:bidi w:val="0"/>
              <w:spacing w:before="0" w:after="0"/>
              <w:jc w:val="left"/>
              <w:rPr/>
            </w:pPr>
            <w:r>
              <w:rPr/>
              <w:t> </w:t>
            </w:r>
            <w:r>
              <w:rPr>
                <w:rFonts w:ascii="ARIAL" w:hAnsi="ARIAL"/>
                <w:sz w:val="22"/>
              </w:rPr>
              <w:t>Christopher H. Peterson</w:t>
            </w:r>
          </w:p>
        </w:tc>
        <w:tc>
          <w:tcPr>
            <w:tcW w:w="60" w:type="dxa"/>
            <w:tcBorders/>
            <w:shd w:fill="D5EBF6" w:val="clear"/>
            <w:vAlign w:val="center"/>
          </w:tcPr>
          <w:p>
            <w:pPr>
              <w:pStyle w:val="TableContents"/>
              <w:bidi w:val="0"/>
              <w:spacing w:before="0" w:after="283"/>
              <w:jc w:val="left"/>
              <w:rPr/>
            </w:pPr>
            <w:r>
              <w:rPr/>
              <w:t> </w:t>
            </w:r>
          </w:p>
        </w:tc>
        <w:tc>
          <w:tcPr>
            <w:tcW w:w="2900" w:type="dxa"/>
            <w:tcBorders/>
            <w:shd w:fill="D5EBF6" w:val="clear"/>
            <w:vAlign w:val="center"/>
          </w:tcPr>
          <w:p>
            <w:pPr>
              <w:pStyle w:val="TableContents"/>
              <w:bidi w:val="0"/>
              <w:spacing w:before="0" w:after="283"/>
              <w:jc w:val="center"/>
              <w:rPr/>
            </w:pPr>
            <w:r>
              <w:rPr/>
              <w:t>$1,350,000</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296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pPr>
            <w:r>
              <w:rPr/>
              <w:t> </w:t>
            </w:r>
            <w:r>
              <w:rPr>
                <w:rFonts w:ascii="ARIAL" w:hAnsi="ARIAL"/>
                <w:sz w:val="22"/>
              </w:rPr>
              <w:t>Mark J. Erceg</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center"/>
              <w:rPr/>
            </w:pPr>
            <w:r>
              <w:rPr/>
              <w:t>$825,000</w:t>
            </w:r>
          </w:p>
        </w:tc>
      </w:tr>
      <w:tr>
        <w:trPr/>
        <w:tc>
          <w:tcPr>
            <w:tcW w:w="2630" w:type="dxa"/>
            <w:tcBorders/>
            <w:shd w:fill="D5EBF6" w:val="clear"/>
            <w:vAlign w:val="center"/>
          </w:tcPr>
          <w:p>
            <w:pPr>
              <w:pStyle w:val="TableContents"/>
              <w:bidi w:val="0"/>
              <w:spacing w:before="0" w:after="283"/>
              <w:jc w:val="left"/>
              <w:rPr>
                <w:sz w:val="4"/>
                <w:szCs w:val="4"/>
              </w:rPr>
            </w:pPr>
            <w:r>
              <w:rPr>
                <w:sz w:val="4"/>
                <w:szCs w:val="4"/>
              </w:rPr>
            </w:r>
          </w:p>
        </w:tc>
        <w:tc>
          <w:tcPr>
            <w:tcW w:w="296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30" w:type="dxa"/>
            <w:tcBorders/>
            <w:shd w:fill="D5EBF6" w:val="clear"/>
            <w:vAlign w:val="center"/>
          </w:tcPr>
          <w:p>
            <w:pPr>
              <w:pStyle w:val="TableContents"/>
              <w:bidi w:val="0"/>
              <w:spacing w:before="0" w:after="0"/>
              <w:jc w:val="left"/>
              <w:rPr/>
            </w:pPr>
            <w:r>
              <w:rPr/>
              <w:t> </w:t>
            </w:r>
            <w:r>
              <w:rPr>
                <w:rFonts w:ascii="ARIAL" w:hAnsi="ARIAL"/>
                <w:sz w:val="22"/>
              </w:rPr>
              <w:t>Bradford R. Turner</w:t>
            </w:r>
          </w:p>
        </w:tc>
        <w:tc>
          <w:tcPr>
            <w:tcW w:w="60" w:type="dxa"/>
            <w:tcBorders/>
            <w:shd w:fill="D5EBF6" w:val="clear"/>
            <w:vAlign w:val="center"/>
          </w:tcPr>
          <w:p>
            <w:pPr>
              <w:pStyle w:val="TableContents"/>
              <w:bidi w:val="0"/>
              <w:spacing w:before="0" w:after="283"/>
              <w:jc w:val="left"/>
              <w:rPr/>
            </w:pPr>
            <w:r>
              <w:rPr/>
              <w:t> </w:t>
            </w:r>
          </w:p>
        </w:tc>
        <w:tc>
          <w:tcPr>
            <w:tcW w:w="2900" w:type="dxa"/>
            <w:tcBorders/>
            <w:shd w:fill="D5EBF6" w:val="clear"/>
            <w:vAlign w:val="center"/>
          </w:tcPr>
          <w:p>
            <w:pPr>
              <w:pStyle w:val="TableContents"/>
              <w:bidi w:val="0"/>
              <w:spacing w:before="0" w:after="283"/>
              <w:jc w:val="center"/>
              <w:rPr/>
            </w:pPr>
            <w:r>
              <w:rPr/>
              <w:t>$750,000</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296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pPr>
            <w:r>
              <w:rPr/>
              <w:t> </w:t>
            </w:r>
            <w:r>
              <w:rPr>
                <w:rFonts w:ascii="ARIAL" w:hAnsi="ARIAL"/>
                <w:sz w:val="22"/>
              </w:rPr>
              <w:t>Tracy L. Platt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center"/>
              <w:rPr/>
            </w:pPr>
            <w:r>
              <w:rPr/>
              <w:t>$730,000</w:t>
            </w:r>
          </w:p>
        </w:tc>
      </w:tr>
      <w:tr>
        <w:trPr/>
        <w:tc>
          <w:tcPr>
            <w:tcW w:w="2630" w:type="dxa"/>
            <w:tcBorders/>
            <w:shd w:fill="D5EBF6" w:val="clear"/>
            <w:vAlign w:val="center"/>
          </w:tcPr>
          <w:p>
            <w:pPr>
              <w:pStyle w:val="TableContents"/>
              <w:bidi w:val="0"/>
              <w:spacing w:before="0" w:after="283"/>
              <w:jc w:val="left"/>
              <w:rPr>
                <w:sz w:val="4"/>
                <w:szCs w:val="4"/>
              </w:rPr>
            </w:pPr>
            <w:r>
              <w:rPr>
                <w:sz w:val="4"/>
                <w:szCs w:val="4"/>
              </w:rPr>
            </w:r>
          </w:p>
        </w:tc>
        <w:tc>
          <w:tcPr>
            <w:tcW w:w="296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30" w:type="dxa"/>
            <w:tcBorders/>
            <w:shd w:fill="D5EBF6" w:val="clear"/>
            <w:vAlign w:val="center"/>
          </w:tcPr>
          <w:p>
            <w:pPr>
              <w:pStyle w:val="TableContents"/>
              <w:bidi w:val="0"/>
              <w:spacing w:before="0" w:after="0"/>
              <w:jc w:val="left"/>
              <w:rPr/>
            </w:pPr>
            <w:r>
              <w:rPr/>
              <w:t> </w:t>
            </w:r>
            <w:r>
              <w:rPr>
                <w:rFonts w:ascii="ARIAL" w:hAnsi="ARIAL"/>
                <w:sz w:val="22"/>
              </w:rPr>
              <w:t>Kristine K. Malkoski</w:t>
            </w:r>
          </w:p>
        </w:tc>
        <w:tc>
          <w:tcPr>
            <w:tcW w:w="60" w:type="dxa"/>
            <w:tcBorders/>
            <w:shd w:fill="D5EBF6" w:val="clear"/>
            <w:vAlign w:val="center"/>
          </w:tcPr>
          <w:p>
            <w:pPr>
              <w:pStyle w:val="TableContents"/>
              <w:bidi w:val="0"/>
              <w:spacing w:before="0" w:after="283"/>
              <w:jc w:val="left"/>
              <w:rPr/>
            </w:pPr>
            <w:r>
              <w:rPr/>
              <w:t> </w:t>
            </w:r>
          </w:p>
        </w:tc>
        <w:tc>
          <w:tcPr>
            <w:tcW w:w="2900" w:type="dxa"/>
            <w:tcBorders/>
            <w:shd w:fill="D5EBF6" w:val="clear"/>
            <w:vAlign w:val="center"/>
          </w:tcPr>
          <w:p>
            <w:pPr>
              <w:pStyle w:val="TableContents"/>
              <w:bidi w:val="0"/>
              <w:spacing w:before="0" w:after="283"/>
              <w:jc w:val="center"/>
              <w:rPr/>
            </w:pPr>
            <w:r>
              <w:rPr/>
              <w:t>$725,000</w:t>
            </w:r>
          </w:p>
        </w:tc>
      </w:tr>
      <w:tr>
        <w:trPr/>
        <w:tc>
          <w:tcPr>
            <w:tcW w:w="26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9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3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900"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i/>
          <w:sz w:val="22"/>
          <w:u w:val="single"/>
        </w:rPr>
      </w:pPr>
      <w:r>
        <w:rPr>
          <w:rFonts w:ascii="ARIAL" w:hAnsi="ARIAL"/>
          <w:i/>
          <w:sz w:val="22"/>
          <w:u w:val="single"/>
        </w:rPr>
        <w:t xml:space="preserve">Annual Incentive Compensation </w:t>
      </w:r>
    </w:p>
    <w:p>
      <w:pPr>
        <w:pStyle w:val="TextBody"/>
        <w:bidi w:val="0"/>
        <w:spacing w:before="240" w:after="0"/>
        <w:jc w:val="both"/>
        <w:rPr>
          <w:rFonts w:ascii="ARIAL" w:hAnsi="ARIAL"/>
          <w:sz w:val="22"/>
        </w:rPr>
      </w:pPr>
      <w:r>
        <w:rPr>
          <w:rFonts w:ascii="ARIAL" w:hAnsi="ARIAL"/>
          <w:sz w:val="22"/>
        </w:rPr>
        <w:t xml:space="preserve">The Company believes that the opportunity to earn annual cash incentives for each named executive officer serves the Company’s goals to: </w:t>
      </w:r>
    </w:p>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70"/>
        <w:gridCol w:w="6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both"/>
              <w:rPr>
                <w:rFonts w:ascii="ARIAL" w:hAnsi="ARIAL"/>
                <w:sz w:val="22"/>
              </w:rPr>
            </w:pPr>
            <w:r>
              <w:rPr>
                <w:rFonts w:ascii="ARIAL" w:hAnsi="ARIAL"/>
                <w:sz w:val="22"/>
              </w:rPr>
              <w:t xml:space="preserve">motivate each of them to achieve Company performance goals that enhance stockholder value;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retain their services because it provides each of them with the opportunity to receive a competitive cash incentive payment. </w:t>
            </w:r>
          </w:p>
        </w:tc>
      </w:tr>
    </w:tbl>
    <w:p>
      <w:pPr>
        <w:pStyle w:val="TextBody"/>
        <w:bidi w:val="0"/>
        <w:spacing w:before="240" w:after="0"/>
        <w:jc w:val="both"/>
        <w:rPr>
          <w:rFonts w:ascii="ARIAL" w:hAnsi="ARIAL"/>
          <w:sz w:val="22"/>
        </w:rPr>
      </w:pPr>
      <w:r>
        <w:rPr>
          <w:rFonts w:ascii="ARIAL" w:hAnsi="ARIAL"/>
          <w:sz w:val="22"/>
        </w:rPr>
        <w:t xml:space="preserve">In the first quarter of 2025, the Committee adopted annual incentive targets and performance goals for 2025 awards to be made under the Bonus Plan. A cash incentive payout, measured as a percentage of the executive’s earned base salary, is paid based on the extent to which the performance goals are achieved. The independent members of the Board, on recommendation of the Committee, increased the target annual incentive percentage for Mr. Peterson from 150% in 2024 to 175% in 2025, to align Mr. Peterson’s compensation more closely to market data, as well as to reward strong performance in 2024. The Committee also increased the target annual incentive percentage for Mr. Turner from 100% in 2024 to 105% in 2025 and for Mses. Platt and Malkoski from 85% in 2024 to 90% in 2025, in each case based on the Committee’s consideration of market data relative to these officers and evaluation of each individual’s performance in 2024. </w:t>
      </w:r>
    </w:p>
    <w:p>
      <w:pPr>
        <w:pStyle w:val="TextBody"/>
        <w:bidi w:val="0"/>
        <w:spacing w:before="240" w:after="0"/>
        <w:jc w:val="both"/>
        <w:rPr>
          <w:rFonts w:ascii="ARIAL" w:hAnsi="ARIAL"/>
          <w:sz w:val="22"/>
        </w:rPr>
      </w:pPr>
      <w:r>
        <w:rPr>
          <w:rFonts w:ascii="ARIAL" w:hAnsi="ARIAL"/>
          <w:sz w:val="22"/>
        </w:rPr>
        <w:t>Below is a description of each set of the Company-wide performance goals used under the Bonus Plan in 2025 for Messrs. Peterson, Erceg and Turner and Ms. Platt (the “</w:t>
      </w:r>
      <w:r>
        <w:rPr>
          <w:rFonts w:ascii="ARIAL" w:hAnsi="ARIAL"/>
          <w:b/>
          <w:sz w:val="22"/>
        </w:rPr>
        <w:t>Corporate Goals</w:t>
      </w:r>
      <w:r>
        <w:rPr>
          <w:rFonts w:ascii="ARIAL" w:hAnsi="ARIAL"/>
          <w:sz w:val="22"/>
        </w:rPr>
        <w:t xml:space="preserve">”), their relative weight and the rationale for using each of them.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2"/>
          <w:u w:val="single"/>
        </w:rPr>
      </w:pPr>
      <w:r>
        <w:rPr>
          <w:rFonts w:ascii="ARIAL" w:hAnsi="ARIAL"/>
          <w:b/>
          <w:sz w:val="22"/>
          <w:u w:val="single"/>
        </w:rPr>
        <w:t xml:space="preserve">Corporate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84"/>
        <w:gridCol w:w="120"/>
        <w:gridCol w:w="105"/>
        <w:gridCol w:w="105"/>
        <w:gridCol w:w="770"/>
        <w:gridCol w:w="105"/>
        <w:gridCol w:w="60"/>
        <w:gridCol w:w="5256"/>
      </w:tblGrid>
      <w:tr>
        <w:trPr/>
        <w:tc>
          <w:tcPr>
            <w:tcW w:w="3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6" w:type="dxa"/>
            <w:tcBorders/>
            <w:vAlign w:val="center"/>
          </w:tcPr>
          <w:p>
            <w:pPr>
              <w:pStyle w:val="TableContents"/>
              <w:bidi w:val="0"/>
              <w:spacing w:before="0" w:after="283"/>
              <w:jc w:val="left"/>
              <w:rPr>
                <w:sz w:val="4"/>
                <w:szCs w:val="4"/>
              </w:rPr>
            </w:pPr>
            <w:r>
              <w:rPr>
                <w:sz w:val="4"/>
                <w:szCs w:val="4"/>
              </w:rPr>
            </w:r>
          </w:p>
        </w:tc>
      </w:tr>
      <w:tr>
        <w:trPr/>
        <w:tc>
          <w:tcPr>
            <w:tcW w:w="3684"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b/>
                <w:sz w:val="22"/>
              </w:rPr>
              <w:t>Metric</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5" w:type="dxa"/>
            <w:gridSpan w:val="4"/>
            <w:tcBorders>
              <w:bottom w:val="single" w:sz="6" w:space="0" w:color="000000"/>
            </w:tcBorders>
            <w:tcMar>
              <w:bottom w:w="28" w:type="dxa"/>
            </w:tcMar>
            <w:vAlign w:val="center"/>
          </w:tcPr>
          <w:p>
            <w:pPr>
              <w:pStyle w:val="TableContents"/>
              <w:bidi w:val="0"/>
              <w:spacing w:before="0" w:after="0"/>
              <w:jc w:val="center"/>
              <w:rPr>
                <w:rFonts w:ascii="ARIAL" w:hAnsi="ARIAL"/>
                <w:b/>
                <w:sz w:val="22"/>
              </w:rPr>
            </w:pPr>
            <w:r>
              <w:rPr>
                <w:rFonts w:ascii="ARIAL" w:hAnsi="ARIAL"/>
                <w:b/>
                <w:sz w:val="22"/>
              </w:rPr>
              <w:t>Weighting</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256" w:type="dxa"/>
            <w:tcBorders>
              <w:bottom w:val="single" w:sz="6" w:space="0" w:color="000000"/>
            </w:tcBorders>
            <w:tcMar>
              <w:bottom w:w="28" w:type="dxa"/>
            </w:tcMar>
            <w:vAlign w:val="center"/>
          </w:tcPr>
          <w:p>
            <w:pPr>
              <w:pStyle w:val="TableContents"/>
              <w:bidi w:val="0"/>
              <w:spacing w:before="0" w:after="0"/>
              <w:jc w:val="left"/>
              <w:rPr>
                <w:rFonts w:ascii="ARIAL" w:hAnsi="ARIAL"/>
                <w:b/>
                <w:sz w:val="22"/>
              </w:rPr>
            </w:pPr>
            <w:r>
              <w:rPr>
                <w:rFonts w:ascii="ARIAL" w:hAnsi="ARIAL"/>
                <w:b/>
                <w:sz w:val="22"/>
              </w:rPr>
              <w:t>Rationale</w:t>
            </w:r>
          </w:p>
          <w:p>
            <w:pPr>
              <w:pStyle w:val="TableContents"/>
              <w:bidi w:val="0"/>
              <w:spacing w:before="0" w:after="20"/>
              <w:jc w:val="left"/>
              <w:rPr/>
            </w:pPr>
            <w:r>
              <w:rPr/>
              <w:t> </w:t>
            </w:r>
          </w:p>
        </w:tc>
      </w:tr>
      <w:tr>
        <w:trPr/>
        <w:tc>
          <w:tcPr>
            <w:tcW w:w="3684"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25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84" w:type="dxa"/>
            <w:tcBorders/>
            <w:shd w:fill="D5EBF6" w:val="clear"/>
            <w:vAlign w:val="center"/>
          </w:tcPr>
          <w:p>
            <w:pPr>
              <w:pStyle w:val="TableContents"/>
              <w:bidi w:val="0"/>
              <w:spacing w:before="0" w:after="283"/>
              <w:jc w:val="left"/>
              <w:rPr>
                <w:sz w:val="4"/>
                <w:szCs w:val="4"/>
              </w:rPr>
            </w:pPr>
            <w:r>
              <w:rPr>
                <w:sz w:val="4"/>
                <w:szCs w:val="4"/>
              </w:rPr>
            </w:r>
          </w:p>
        </w:tc>
        <w:tc>
          <w:tcPr>
            <w:tcW w:w="1205" w:type="dxa"/>
            <w:gridSpan w:val="5"/>
            <w:tcBorders/>
            <w:shd w:fill="D5EBF6" w:val="clear"/>
            <w:vAlign w:val="center"/>
          </w:tcPr>
          <w:p>
            <w:pPr>
              <w:pStyle w:val="TableContents"/>
              <w:bidi w:val="0"/>
              <w:spacing w:before="0" w:after="283"/>
              <w:jc w:val="left"/>
              <w:rPr>
                <w:sz w:val="4"/>
                <w:szCs w:val="4"/>
              </w:rPr>
            </w:pPr>
            <w:r>
              <w:rPr>
                <w:sz w:val="4"/>
                <w:szCs w:val="4"/>
              </w:rPr>
            </w:r>
          </w:p>
        </w:tc>
        <w:tc>
          <w:tcPr>
            <w:tcW w:w="5316"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3684"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2"/>
              </w:rPr>
              <w:t>Adjusted Operating Cash Flow (1) (3)</w:t>
            </w:r>
          </w:p>
        </w:tc>
        <w:tc>
          <w:tcPr>
            <w:tcW w:w="120" w:type="dxa"/>
            <w:tcBorders/>
            <w:shd w:fill="D5EBF6" w:val="clear"/>
            <w:vAlign w:val="center"/>
          </w:tcPr>
          <w:p>
            <w:pPr>
              <w:pStyle w:val="TableContents"/>
              <w:bidi w:val="0"/>
              <w:spacing w:before="0" w:after="283"/>
              <w:jc w:val="left"/>
              <w:rPr/>
            </w:pPr>
            <w:r>
              <w:rPr/>
              <w:t>  </w:t>
            </w:r>
          </w:p>
        </w:tc>
        <w:tc>
          <w:tcPr>
            <w:tcW w:w="105" w:type="dxa"/>
            <w:tcBorders/>
            <w:shd w:fill="D5EBF6" w:val="clear"/>
            <w:vAlign w:val="center"/>
          </w:tcPr>
          <w:p>
            <w:pPr>
              <w:pStyle w:val="TableContents"/>
              <w:bidi w:val="0"/>
              <w:spacing w:before="0" w:after="283"/>
              <w:jc w:val="left"/>
              <w:rPr/>
            </w:pPr>
            <w:r>
              <w:rPr/>
              <w:t> </w:t>
            </w:r>
          </w:p>
        </w:tc>
        <w:tc>
          <w:tcPr>
            <w:tcW w:w="105"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77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25%</w:t>
            </w:r>
          </w:p>
        </w:tc>
        <w:tc>
          <w:tcPr>
            <w:tcW w:w="105"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5256"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2"/>
              </w:rPr>
            </w:pPr>
            <w:r>
              <w:rPr>
                <w:rFonts w:ascii="ARIAL" w:hAnsi="ARIAL"/>
                <w:sz w:val="22"/>
              </w:rPr>
              <w:t>Drive cash flow generation</w:t>
            </w:r>
          </w:p>
        </w:tc>
      </w:tr>
      <w:tr>
        <w:trPr/>
        <w:tc>
          <w:tcPr>
            <w:tcW w:w="3684" w:type="dxa"/>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5316" w:type="dxa"/>
            <w:gridSpan w:val="2"/>
            <w:tcBorders/>
            <w:vAlign w:val="center"/>
          </w:tcPr>
          <w:p>
            <w:pPr>
              <w:pStyle w:val="TableContents"/>
              <w:bidi w:val="0"/>
              <w:spacing w:before="0" w:after="283"/>
              <w:jc w:val="left"/>
              <w:rPr>
                <w:sz w:val="4"/>
                <w:szCs w:val="4"/>
              </w:rPr>
            </w:pPr>
            <w:r>
              <w:rPr>
                <w:sz w:val="4"/>
                <w:szCs w:val="4"/>
              </w:rPr>
            </w:r>
          </w:p>
        </w:tc>
      </w:tr>
      <w:tr>
        <w:trPr/>
        <w:tc>
          <w:tcPr>
            <w:tcW w:w="3684"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2"/>
              </w:rPr>
              <w:t>Adjusted Earnings Per Share (2) (3)</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77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25%</w:t>
            </w:r>
          </w:p>
        </w:tc>
        <w:tc>
          <w:tcPr>
            <w:tcW w:w="105"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25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2"/>
              </w:rPr>
            </w:pPr>
            <w:r>
              <w:rPr>
                <w:rFonts w:ascii="ARIAL" w:hAnsi="ARIAL"/>
                <w:sz w:val="22"/>
              </w:rPr>
              <w:t>Drive profits</w:t>
            </w:r>
          </w:p>
        </w:tc>
      </w:tr>
      <w:tr>
        <w:trPr/>
        <w:tc>
          <w:tcPr>
            <w:tcW w:w="3684" w:type="dxa"/>
            <w:tcBorders/>
            <w:shd w:fill="D5EBF6" w:val="clear"/>
            <w:vAlign w:val="center"/>
          </w:tcPr>
          <w:p>
            <w:pPr>
              <w:pStyle w:val="TableContents"/>
              <w:bidi w:val="0"/>
              <w:spacing w:before="0" w:after="283"/>
              <w:jc w:val="left"/>
              <w:rPr>
                <w:sz w:val="4"/>
                <w:szCs w:val="4"/>
              </w:rPr>
            </w:pPr>
            <w:r>
              <w:rPr>
                <w:sz w:val="4"/>
                <w:szCs w:val="4"/>
              </w:rPr>
            </w:r>
          </w:p>
        </w:tc>
        <w:tc>
          <w:tcPr>
            <w:tcW w:w="1205" w:type="dxa"/>
            <w:gridSpan w:val="5"/>
            <w:tcBorders/>
            <w:shd w:fill="D5EBF6" w:val="clear"/>
            <w:vAlign w:val="center"/>
          </w:tcPr>
          <w:p>
            <w:pPr>
              <w:pStyle w:val="TableContents"/>
              <w:bidi w:val="0"/>
              <w:spacing w:before="0" w:after="283"/>
              <w:jc w:val="left"/>
              <w:rPr>
                <w:sz w:val="4"/>
                <w:szCs w:val="4"/>
              </w:rPr>
            </w:pPr>
            <w:r>
              <w:rPr>
                <w:sz w:val="4"/>
                <w:szCs w:val="4"/>
              </w:rPr>
            </w:r>
          </w:p>
        </w:tc>
        <w:tc>
          <w:tcPr>
            <w:tcW w:w="5316"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3684"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2"/>
              </w:rPr>
              <w:t>Core Sales (4)</w:t>
            </w:r>
          </w:p>
        </w:tc>
        <w:tc>
          <w:tcPr>
            <w:tcW w:w="120" w:type="dxa"/>
            <w:tcBorders/>
            <w:shd w:fill="D5EBF6" w:val="clear"/>
            <w:vAlign w:val="center"/>
          </w:tcPr>
          <w:p>
            <w:pPr>
              <w:pStyle w:val="TableContents"/>
              <w:bidi w:val="0"/>
              <w:spacing w:before="0" w:after="283"/>
              <w:jc w:val="left"/>
              <w:rPr/>
            </w:pPr>
            <w:r>
              <w:rPr/>
              <w:t>  </w:t>
            </w:r>
          </w:p>
        </w:tc>
        <w:tc>
          <w:tcPr>
            <w:tcW w:w="105" w:type="dxa"/>
            <w:tcBorders/>
            <w:shd w:fill="D5EBF6" w:val="clear"/>
            <w:vAlign w:val="center"/>
          </w:tcPr>
          <w:p>
            <w:pPr>
              <w:pStyle w:val="TableContents"/>
              <w:bidi w:val="0"/>
              <w:spacing w:before="0" w:after="283"/>
              <w:jc w:val="left"/>
              <w:rPr/>
            </w:pPr>
            <w:r>
              <w:rPr/>
              <w:t> </w:t>
            </w:r>
          </w:p>
        </w:tc>
        <w:tc>
          <w:tcPr>
            <w:tcW w:w="105"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77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25%</w:t>
            </w:r>
          </w:p>
        </w:tc>
        <w:tc>
          <w:tcPr>
            <w:tcW w:w="105"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5256"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2"/>
              </w:rPr>
            </w:pPr>
            <w:r>
              <w:rPr>
                <w:rFonts w:ascii="ARIAL" w:hAnsi="ARIAL"/>
                <w:sz w:val="22"/>
              </w:rPr>
              <w:t>Drive improved sales performance</w:t>
            </w:r>
          </w:p>
        </w:tc>
      </w:tr>
      <w:tr>
        <w:trPr/>
        <w:tc>
          <w:tcPr>
            <w:tcW w:w="3684" w:type="dxa"/>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5316" w:type="dxa"/>
            <w:gridSpan w:val="2"/>
            <w:tcBorders/>
            <w:vAlign w:val="center"/>
          </w:tcPr>
          <w:p>
            <w:pPr>
              <w:pStyle w:val="TableContents"/>
              <w:bidi w:val="0"/>
              <w:spacing w:before="0" w:after="283"/>
              <w:jc w:val="left"/>
              <w:rPr>
                <w:sz w:val="4"/>
                <w:szCs w:val="4"/>
              </w:rPr>
            </w:pPr>
            <w:r>
              <w:rPr>
                <w:sz w:val="4"/>
                <w:szCs w:val="4"/>
              </w:rPr>
            </w:r>
          </w:p>
        </w:tc>
      </w:tr>
      <w:tr>
        <w:trPr/>
        <w:tc>
          <w:tcPr>
            <w:tcW w:w="3684"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2"/>
              </w:rPr>
              <w:t>FUEL Productivity (5)</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77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12.5%</w:t>
            </w:r>
          </w:p>
        </w:tc>
        <w:tc>
          <w:tcPr>
            <w:tcW w:w="105"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25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2"/>
              </w:rPr>
            </w:pPr>
            <w:r>
              <w:rPr>
                <w:rFonts w:ascii="ARIAL" w:hAnsi="ARIAL"/>
                <w:sz w:val="22"/>
              </w:rPr>
              <w:t>Drive productivity and profits</w:t>
            </w:r>
          </w:p>
        </w:tc>
      </w:tr>
      <w:tr>
        <w:trPr/>
        <w:tc>
          <w:tcPr>
            <w:tcW w:w="3684" w:type="dxa"/>
            <w:tcBorders/>
            <w:shd w:fill="D5EBF6" w:val="clear"/>
            <w:vAlign w:val="center"/>
          </w:tcPr>
          <w:p>
            <w:pPr>
              <w:pStyle w:val="TableContents"/>
              <w:bidi w:val="0"/>
              <w:spacing w:before="0" w:after="283"/>
              <w:jc w:val="left"/>
              <w:rPr>
                <w:sz w:val="4"/>
                <w:szCs w:val="4"/>
              </w:rPr>
            </w:pPr>
            <w:r>
              <w:rPr>
                <w:sz w:val="4"/>
                <w:szCs w:val="4"/>
              </w:rPr>
            </w:r>
          </w:p>
        </w:tc>
        <w:tc>
          <w:tcPr>
            <w:tcW w:w="1205" w:type="dxa"/>
            <w:gridSpan w:val="5"/>
            <w:tcBorders/>
            <w:shd w:fill="D5EBF6" w:val="clear"/>
            <w:vAlign w:val="center"/>
          </w:tcPr>
          <w:p>
            <w:pPr>
              <w:pStyle w:val="TableContents"/>
              <w:bidi w:val="0"/>
              <w:spacing w:before="0" w:after="283"/>
              <w:jc w:val="left"/>
              <w:rPr>
                <w:sz w:val="4"/>
                <w:szCs w:val="4"/>
              </w:rPr>
            </w:pPr>
            <w:r>
              <w:rPr>
                <w:sz w:val="4"/>
                <w:szCs w:val="4"/>
              </w:rPr>
            </w:r>
          </w:p>
        </w:tc>
        <w:tc>
          <w:tcPr>
            <w:tcW w:w="5316"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3684" w:type="dxa"/>
            <w:tcBorders>
              <w:bottom w:val="single" w:sz="6" w:space="0" w:color="000000"/>
            </w:tcBorders>
            <w:shd w:fill="D5EBF6"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2"/>
              </w:rPr>
              <w:t>Weighted Forecast Accuracy (6)</w:t>
            </w:r>
          </w:p>
        </w:tc>
        <w:tc>
          <w:tcPr>
            <w:tcW w:w="12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shd w:fill="D5EBF6"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770" w:type="dxa"/>
            <w:tcBorders>
              <w:bottom w:val="single" w:sz="6" w:space="0" w:color="000000"/>
            </w:tcBorders>
            <w:shd w:fill="D5EBF6" w:val="clear"/>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12.5%</w:t>
            </w:r>
          </w:p>
        </w:tc>
        <w:tc>
          <w:tcPr>
            <w:tcW w:w="105" w:type="dxa"/>
            <w:tcBorders>
              <w:bottom w:val="single" w:sz="6" w:space="0" w:color="000000"/>
            </w:tcBorders>
            <w:shd w:fill="D5EBF6"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5256" w:type="dxa"/>
            <w:tcBorders>
              <w:bottom w:val="single" w:sz="6" w:space="0" w:color="000000"/>
            </w:tcBorders>
            <w:shd w:fill="D5EBF6"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2"/>
              </w:rPr>
            </w:pPr>
            <w:r>
              <w:rPr>
                <w:rFonts w:ascii="ARIAL" w:hAnsi="ARIAL"/>
                <w:sz w:val="22"/>
              </w:rPr>
              <w:t>Drive operational discipline and supply chain efficiency</w:t>
            </w:r>
          </w:p>
        </w:tc>
      </w:tr>
      <w:tr>
        <w:trPr/>
        <w:tc>
          <w:tcPr>
            <w:tcW w:w="3684"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256"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both"/>
              <w:rPr>
                <w:rFonts w:ascii="ARIAL" w:hAnsi="ARIAL"/>
                <w:sz w:val="18"/>
              </w:rPr>
            </w:pPr>
            <w:r>
              <w:rPr>
                <w:rFonts w:ascii="ARIAL" w:hAnsi="ARIAL"/>
                <w:sz w:val="18"/>
              </w:rPr>
              <w:t xml:space="preserve">Adjusted operating cash flow is reported operating cash flow, excluding the impact of tax payments associated with the sale of a business unit or line of business; non-budgeted expenditures associated with the acquisition, divestiture or integration of business units or lines of business; and other unanticipated extraordinary, non-budgeted cash expenditures as determined by the Committee, which for 2025 included recall costs for certain French Door Countertop Ovens and expenses related to a legal proceeding in U.S. Tax Court. Adjusted operating cash flow also includes disposal proceeds for ordinary course and restructuring related asset sales.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(2)</w:t>
            </w:r>
          </w:p>
        </w:tc>
        <w:tc>
          <w:tcPr>
            <w:tcW w:w="9917" w:type="dxa"/>
            <w:tcBorders/>
            <w:vAlign w:val="center"/>
          </w:tcPr>
          <w:p>
            <w:pPr>
              <w:pStyle w:val="TableContents"/>
              <w:bidi w:val="0"/>
              <w:spacing w:before="0" w:after="0"/>
              <w:jc w:val="both"/>
              <w:rPr>
                <w:rFonts w:ascii="ARIAL" w:hAnsi="ARIAL"/>
                <w:sz w:val="18"/>
              </w:rPr>
            </w:pPr>
            <w:r>
              <w:rPr>
                <w:rFonts w:ascii="ARIAL" w:hAnsi="ARIAL"/>
                <w:sz w:val="18"/>
              </w:rPr>
              <w:t>Adjusted earnings per share (“</w:t>
            </w:r>
            <w:r>
              <w:rPr>
                <w:rFonts w:ascii="ARIAL" w:hAnsi="ARIAL"/>
                <w:b/>
                <w:sz w:val="18"/>
              </w:rPr>
              <w:t>EPS</w:t>
            </w:r>
            <w:r>
              <w:rPr>
                <w:rFonts w:ascii="ARIAL" w:hAnsi="ARIAL"/>
                <w:sz w:val="18"/>
              </w:rPr>
              <w:t xml:space="preserve">”) is the Company’s reported EPS, excluding the impact of charges which the Company normalizes for public reporting.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0"/>
              <w:jc w:val="both"/>
              <w:rPr>
                <w:rFonts w:ascii="ARIAL" w:hAnsi="ARIAL"/>
                <w:sz w:val="18"/>
              </w:rPr>
            </w:pPr>
            <w:r>
              <w:rPr>
                <w:rFonts w:ascii="ARIAL" w:hAnsi="ARIAL"/>
                <w:sz w:val="18"/>
              </w:rPr>
              <w:t xml:space="preserve">Adjusted operating cash flow and adjusted EPS calculations also exclude (a) unbudgeted transactional and financing costs and incremental interest payments resulting from refinancing a significant portion of the Company’s long-term debt prior to maturity in 2025 and (b) the unbudgeted impact of tariff changes during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0"/>
              <w:jc w:val="both"/>
              <w:rPr>
                <w:rFonts w:ascii="ARIAL" w:hAnsi="ARIAL"/>
                <w:sz w:val="18"/>
              </w:rPr>
            </w:pPr>
            <w:r>
              <w:rPr>
                <w:rFonts w:ascii="ARIAL" w:hAnsi="ARIAL"/>
                <w:sz w:val="18"/>
              </w:rPr>
              <w:t xml:space="preserve">Core sales is calculated, in dollars, on the same basis as the Company’s publicly reported core sales. Core sales excludes the impact of acquisitions and divestitures, discontinued operations, retail store openings and closures, certain market/category exits, changes in foreign currency and other items excluded from publicly reported core sales. Core sales for the total Company are translated at the preceding year’s average foreign exchange rates for the applicable month.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jc w:val="both"/>
              <w:rPr>
                <w:rFonts w:ascii="ARIAL" w:hAnsi="ARIAL"/>
                <w:sz w:val="18"/>
              </w:rPr>
            </w:pPr>
            <w:r>
              <w:rPr>
                <w:rFonts w:ascii="ARIAL" w:hAnsi="ARIAL"/>
                <w:sz w:val="18"/>
              </w:rPr>
              <w:t>The “</w:t>
            </w:r>
            <w:r>
              <w:rPr>
                <w:rFonts w:ascii="ARIAL" w:hAnsi="ARIAL"/>
                <w:b/>
                <w:sz w:val="18"/>
              </w:rPr>
              <w:t>FUEL</w:t>
            </w:r>
            <w:r>
              <w:rPr>
                <w:rFonts w:ascii="ARIAL" w:hAnsi="ARIAL"/>
                <w:sz w:val="18"/>
              </w:rPr>
              <w:t xml:space="preserve">” program refers to the Finding Untapped Efficiencies and Leverage initiative, a Company-wide program focused on margin enhancement. FUEL productivity improvements equal the sum of year over year savings in cost of goods sold that are directly related to a project, activity, or systemic improvement.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(6)</w:t>
            </w:r>
          </w:p>
        </w:tc>
        <w:tc>
          <w:tcPr>
            <w:tcW w:w="9967" w:type="dxa"/>
            <w:tcBorders/>
            <w:vAlign w:val="center"/>
          </w:tcPr>
          <w:p>
            <w:pPr>
              <w:pStyle w:val="TableContents"/>
              <w:bidi w:val="0"/>
              <w:spacing w:before="0" w:after="0"/>
              <w:jc w:val="both"/>
              <w:rPr>
                <w:rFonts w:ascii="ARIAL" w:hAnsi="ARIAL"/>
                <w:sz w:val="18"/>
              </w:rPr>
            </w:pPr>
            <w:r>
              <w:rPr>
                <w:rFonts w:ascii="ARIAL" w:hAnsi="ARIAL"/>
                <w:sz w:val="18"/>
              </w:rPr>
              <w:t>Weighted forecast accuracy measures the demand forecasted versus actual demand realized in each month during the Bonus period in the form of orders and expected shipments to customers, on a global basis. Forecast accuracy is equal to 100% minus the applicable error percentage, but shall not be less than zero at the reporting unit level. The error percentage is equal to the percentage obtained by dividing (i) the absolute value of the difference between actual and forecasted demand (60 days prior), by (ii) the average of the forecasted and actual demand for each stock-keeping unit (“</w:t>
            </w:r>
            <w:r>
              <w:rPr>
                <w:rFonts w:ascii="ARIAL" w:hAnsi="ARIAL"/>
                <w:b/>
                <w:sz w:val="18"/>
              </w:rPr>
              <w:t>SKU</w:t>
            </w:r>
            <w:r>
              <w:rPr>
                <w:rFonts w:ascii="ARIAL" w:hAnsi="ARIAL"/>
                <w:sz w:val="18"/>
              </w:rPr>
              <w:t xml:space="preserve">”) at its relevant distribution location during such month. Weighted forecast accuracy is the total weighted average based on standard cost volume for the total Company or segment, as applicable. The weighted forecast accuracy calculation for 2025 excluded certain businesses not utilizing the Company’s core ERP system by year end.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The annual incentive targets under the Bonus Plan in 2025 for Ms. Malkoski were weighted 30% to the achievement of the Corporate Goals described above and 70% to the achievement of performance goals set at the segment level. Below is a description of each set of segment performance goals for Ms. Malkoski (the “</w:t>
      </w:r>
      <w:r>
        <w:rPr>
          <w:rFonts w:ascii="ARIAL" w:hAnsi="ARIAL"/>
          <w:b/>
          <w:sz w:val="22"/>
        </w:rPr>
        <w:t>Segment Goals</w:t>
      </w:r>
      <w:r>
        <w:rPr>
          <w:rFonts w:ascii="ARIAL" w:hAnsi="ARIAL"/>
          <w:sz w:val="22"/>
        </w:rPr>
        <w:t xml:space="preserve">”), their relative weight and the rationale for using each in 2025. </w:t>
      </w:r>
    </w:p>
    <w:p>
      <w:pPr>
        <w:pStyle w:val="TextBody"/>
        <w:bidi w:val="0"/>
        <w:spacing w:before="240" w:after="0"/>
        <w:jc w:val="center"/>
        <w:rPr>
          <w:rFonts w:ascii="ARIAL" w:hAnsi="ARIAL"/>
          <w:b/>
          <w:sz w:val="22"/>
          <w:u w:val="single"/>
        </w:rPr>
      </w:pPr>
      <w:r>
        <w:rPr>
          <w:rFonts w:ascii="ARIAL" w:hAnsi="ARIAL"/>
          <w:b/>
          <w:sz w:val="22"/>
          <w:u w:val="single"/>
        </w:rPr>
        <w:t xml:space="preserve">Segment Goals </w:t>
      </w:r>
    </w:p>
    <w:p>
      <w:pPr>
        <w:pStyle w:val="TextBody"/>
        <w:bidi w:val="0"/>
        <w:spacing w:before="0" w:after="0"/>
        <w:jc w:val="left"/>
        <w:rPr/>
      </w:pPr>
      <w:r>
        <w:rPr/>
        <w:t> </w:t>
      </w:r>
    </w:p>
    <w:tbl>
      <w:tblPr>
        <w:tblW w:w="9885" w:type="dxa"/>
        <w:jc w:val="left"/>
        <w:tblInd w:w="0" w:type="dxa"/>
        <w:tblLayout w:type="fixed"/>
        <w:tblCellMar>
          <w:top w:w="0" w:type="dxa"/>
          <w:left w:w="0" w:type="dxa"/>
          <w:bottom w:w="0" w:type="dxa"/>
          <w:right w:w="0" w:type="dxa"/>
        </w:tblCellMar>
      </w:tblPr>
      <w:tblGrid>
        <w:gridCol w:w="3380"/>
        <w:gridCol w:w="60"/>
        <w:gridCol w:w="105"/>
        <w:gridCol w:w="105"/>
        <w:gridCol w:w="770"/>
        <w:gridCol w:w="105"/>
        <w:gridCol w:w="60"/>
        <w:gridCol w:w="5300"/>
      </w:tblGrid>
      <w:tr>
        <w:trPr/>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0" w:type="dxa"/>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b/>
                <w:sz w:val="22"/>
              </w:rPr>
              <w:t>Metric (1)</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5" w:type="dxa"/>
            <w:gridSpan w:val="4"/>
            <w:tcBorders>
              <w:bottom w:val="single" w:sz="6" w:space="0" w:color="000000"/>
            </w:tcBorders>
            <w:tcMar>
              <w:bottom w:w="28" w:type="dxa"/>
            </w:tcMar>
            <w:vAlign w:val="center"/>
          </w:tcPr>
          <w:p>
            <w:pPr>
              <w:pStyle w:val="TableContents"/>
              <w:bidi w:val="0"/>
              <w:spacing w:before="0" w:after="0"/>
              <w:jc w:val="center"/>
              <w:rPr>
                <w:rFonts w:ascii="ARIAL" w:hAnsi="ARIAL"/>
                <w:b/>
                <w:sz w:val="22"/>
              </w:rPr>
            </w:pPr>
            <w:r>
              <w:rPr>
                <w:rFonts w:ascii="ARIAL" w:hAnsi="ARIAL"/>
                <w:b/>
                <w:sz w:val="22"/>
              </w:rPr>
              <w:t>Weighting</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0" w:type="dxa"/>
            <w:tcBorders>
              <w:bottom w:val="single" w:sz="6" w:space="0" w:color="000000"/>
            </w:tcBorders>
            <w:tcMar>
              <w:bottom w:w="28" w:type="dxa"/>
            </w:tcMar>
            <w:vAlign w:val="center"/>
          </w:tcPr>
          <w:p>
            <w:pPr>
              <w:pStyle w:val="TableContents"/>
              <w:bidi w:val="0"/>
              <w:spacing w:before="0" w:after="0"/>
              <w:jc w:val="left"/>
              <w:rPr>
                <w:rFonts w:ascii="ARIAL" w:hAnsi="ARIAL"/>
                <w:b/>
                <w:sz w:val="22"/>
              </w:rPr>
            </w:pPr>
            <w:r>
              <w:rPr>
                <w:rFonts w:ascii="ARIAL" w:hAnsi="ARIAL"/>
                <w:b/>
                <w:sz w:val="22"/>
              </w:rPr>
              <w:t>Rationale</w:t>
            </w:r>
          </w:p>
          <w:p>
            <w:pPr>
              <w:pStyle w:val="TableContents"/>
              <w:bidi w:val="0"/>
              <w:spacing w:before="0" w:after="20"/>
              <w:jc w:val="left"/>
              <w:rPr/>
            </w:pPr>
            <w:r>
              <w:rPr/>
              <w:t> </w:t>
            </w:r>
          </w:p>
        </w:tc>
      </w:tr>
      <w:tr>
        <w:trPr/>
        <w:tc>
          <w:tcPr>
            <w:tcW w:w="338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80" w:type="dxa"/>
            <w:tcBorders/>
            <w:shd w:fill="D5EBF6" w:val="clear"/>
            <w:vAlign w:val="center"/>
          </w:tcPr>
          <w:p>
            <w:pPr>
              <w:pStyle w:val="TableContents"/>
              <w:bidi w:val="0"/>
              <w:spacing w:before="0" w:after="283"/>
              <w:jc w:val="left"/>
              <w:rPr>
                <w:sz w:val="4"/>
                <w:szCs w:val="4"/>
              </w:rPr>
            </w:pPr>
            <w:r>
              <w:rPr>
                <w:sz w:val="4"/>
                <w:szCs w:val="4"/>
              </w:rPr>
            </w:r>
          </w:p>
        </w:tc>
        <w:tc>
          <w:tcPr>
            <w:tcW w:w="1145" w:type="dxa"/>
            <w:gridSpan w:val="5"/>
            <w:tcBorders/>
            <w:shd w:fill="D5EBF6" w:val="clear"/>
            <w:vAlign w:val="center"/>
          </w:tcPr>
          <w:p>
            <w:pPr>
              <w:pStyle w:val="TableContents"/>
              <w:bidi w:val="0"/>
              <w:spacing w:before="0" w:after="283"/>
              <w:jc w:val="left"/>
              <w:rPr>
                <w:sz w:val="4"/>
                <w:szCs w:val="4"/>
              </w:rPr>
            </w:pPr>
            <w:r>
              <w:rPr>
                <w:sz w:val="4"/>
                <w:szCs w:val="4"/>
              </w:rPr>
            </w:r>
          </w:p>
        </w:tc>
        <w:tc>
          <w:tcPr>
            <w:tcW w:w="536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3380" w:type="dxa"/>
            <w:tcBorders/>
            <w:shd w:fill="D5EBF6" w:val="clear"/>
            <w:vAlign w:val="center"/>
          </w:tcPr>
          <w:p>
            <w:pPr>
              <w:pStyle w:val="TableContents"/>
              <w:bidi w:val="0"/>
              <w:spacing w:before="0" w:after="283"/>
              <w:jc w:val="left"/>
              <w:rPr/>
            </w:pPr>
            <w:r>
              <w:rPr/>
              <w:t> </w:t>
            </w:r>
            <w:r>
              <w:rPr/>
              <w:t>Adjusted Operating Cash Flow (2)</w:t>
            </w:r>
          </w:p>
        </w:tc>
        <w:tc>
          <w:tcPr>
            <w:tcW w:w="60" w:type="dxa"/>
            <w:tcBorders/>
            <w:shd w:fill="D5EBF6" w:val="clear"/>
            <w:vAlign w:val="center"/>
          </w:tcPr>
          <w:p>
            <w:pPr>
              <w:pStyle w:val="TableContents"/>
              <w:bidi w:val="0"/>
              <w:spacing w:before="0" w:after="283"/>
              <w:jc w:val="left"/>
              <w:rPr/>
            </w:pPr>
            <w:r>
              <w:rPr/>
              <w:t> </w:t>
            </w:r>
          </w:p>
        </w:tc>
        <w:tc>
          <w:tcPr>
            <w:tcW w:w="105" w:type="dxa"/>
            <w:tcBorders/>
            <w:shd w:fill="D5EBF6" w:val="clear"/>
            <w:vAlign w:val="center"/>
          </w:tcPr>
          <w:p>
            <w:pPr>
              <w:pStyle w:val="TableContents"/>
              <w:bidi w:val="0"/>
              <w:spacing w:before="0" w:after="283"/>
              <w:jc w:val="left"/>
              <w:rPr/>
            </w:pPr>
            <w:r>
              <w:rPr/>
              <w:t> </w:t>
            </w:r>
          </w:p>
        </w:tc>
        <w:tc>
          <w:tcPr>
            <w:tcW w:w="105" w:type="dxa"/>
            <w:tcBorders/>
            <w:shd w:fill="D5EBF6" w:val="clear"/>
            <w:vAlign w:val="center"/>
          </w:tcPr>
          <w:p>
            <w:pPr>
              <w:pStyle w:val="TableContents"/>
              <w:bidi w:val="0"/>
              <w:spacing w:before="0" w:after="283"/>
              <w:jc w:val="left"/>
              <w:rPr/>
            </w:pPr>
            <w:r>
              <w:rPr/>
              <w:t> </w:t>
            </w:r>
          </w:p>
        </w:tc>
        <w:tc>
          <w:tcPr>
            <w:tcW w:w="770" w:type="dxa"/>
            <w:tcBorders/>
            <w:shd w:fill="D5EBF6" w:val="clear"/>
            <w:vAlign w:val="center"/>
          </w:tcPr>
          <w:p>
            <w:pPr>
              <w:pStyle w:val="TableContents"/>
              <w:bidi w:val="0"/>
              <w:spacing w:before="0" w:after="283"/>
              <w:jc w:val="center"/>
              <w:rPr/>
            </w:pPr>
            <w:r>
              <w:rPr/>
              <w:t>25%</w:t>
            </w:r>
          </w:p>
        </w:tc>
        <w:tc>
          <w:tcPr>
            <w:tcW w:w="105"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5300" w:type="dxa"/>
            <w:tcBorders/>
            <w:shd w:fill="D5EBF6" w:val="clear"/>
            <w:vAlign w:val="center"/>
          </w:tcPr>
          <w:p>
            <w:pPr>
              <w:pStyle w:val="TableContents"/>
              <w:bidi w:val="0"/>
              <w:spacing w:before="0" w:after="283"/>
              <w:jc w:val="left"/>
              <w:rPr/>
            </w:pPr>
            <w:r>
              <w:rPr/>
              <w:t>Drive cash flow generation</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5360"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r>
              <w:rPr/>
              <w:t>Adjusted Operating Income (3)</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25%</w:t>
            </w:r>
          </w:p>
        </w:tc>
        <w:tc>
          <w:tcPr>
            <w:tcW w:w="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Drive profits</w:t>
            </w:r>
          </w:p>
        </w:tc>
      </w:tr>
      <w:tr>
        <w:trPr/>
        <w:tc>
          <w:tcPr>
            <w:tcW w:w="3380" w:type="dxa"/>
            <w:tcBorders/>
            <w:shd w:fill="D5EBF6" w:val="clear"/>
            <w:vAlign w:val="center"/>
          </w:tcPr>
          <w:p>
            <w:pPr>
              <w:pStyle w:val="TableContents"/>
              <w:bidi w:val="0"/>
              <w:spacing w:before="0" w:after="283"/>
              <w:jc w:val="left"/>
              <w:rPr>
                <w:sz w:val="4"/>
                <w:szCs w:val="4"/>
              </w:rPr>
            </w:pPr>
            <w:r>
              <w:rPr>
                <w:sz w:val="4"/>
                <w:szCs w:val="4"/>
              </w:rPr>
            </w:r>
          </w:p>
        </w:tc>
        <w:tc>
          <w:tcPr>
            <w:tcW w:w="1145" w:type="dxa"/>
            <w:gridSpan w:val="5"/>
            <w:tcBorders/>
            <w:shd w:fill="D5EBF6" w:val="clear"/>
            <w:vAlign w:val="center"/>
          </w:tcPr>
          <w:p>
            <w:pPr>
              <w:pStyle w:val="TableContents"/>
              <w:bidi w:val="0"/>
              <w:spacing w:before="0" w:after="283"/>
              <w:jc w:val="left"/>
              <w:rPr>
                <w:sz w:val="4"/>
                <w:szCs w:val="4"/>
              </w:rPr>
            </w:pPr>
            <w:r>
              <w:rPr>
                <w:sz w:val="4"/>
                <w:szCs w:val="4"/>
              </w:rPr>
            </w:r>
          </w:p>
        </w:tc>
        <w:tc>
          <w:tcPr>
            <w:tcW w:w="536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3380" w:type="dxa"/>
            <w:tcBorders/>
            <w:shd w:fill="D5EBF6" w:val="clear"/>
            <w:vAlign w:val="center"/>
          </w:tcPr>
          <w:p>
            <w:pPr>
              <w:pStyle w:val="TableContents"/>
              <w:bidi w:val="0"/>
              <w:spacing w:before="0" w:after="283"/>
              <w:jc w:val="left"/>
              <w:rPr/>
            </w:pPr>
            <w:r>
              <w:rPr/>
              <w:t> </w:t>
            </w:r>
            <w:r>
              <w:rPr/>
              <w:t>Core Sales (4)</w:t>
            </w:r>
          </w:p>
        </w:tc>
        <w:tc>
          <w:tcPr>
            <w:tcW w:w="60" w:type="dxa"/>
            <w:tcBorders/>
            <w:shd w:fill="D5EBF6" w:val="clear"/>
            <w:vAlign w:val="center"/>
          </w:tcPr>
          <w:p>
            <w:pPr>
              <w:pStyle w:val="TableContents"/>
              <w:bidi w:val="0"/>
              <w:spacing w:before="0" w:after="283"/>
              <w:jc w:val="left"/>
              <w:rPr/>
            </w:pPr>
            <w:r>
              <w:rPr/>
              <w:t> </w:t>
            </w:r>
          </w:p>
        </w:tc>
        <w:tc>
          <w:tcPr>
            <w:tcW w:w="105" w:type="dxa"/>
            <w:tcBorders/>
            <w:shd w:fill="D5EBF6" w:val="clear"/>
            <w:vAlign w:val="center"/>
          </w:tcPr>
          <w:p>
            <w:pPr>
              <w:pStyle w:val="TableContents"/>
              <w:bidi w:val="0"/>
              <w:spacing w:before="0" w:after="283"/>
              <w:jc w:val="left"/>
              <w:rPr/>
            </w:pPr>
            <w:r>
              <w:rPr/>
              <w:t> </w:t>
            </w:r>
          </w:p>
        </w:tc>
        <w:tc>
          <w:tcPr>
            <w:tcW w:w="105" w:type="dxa"/>
            <w:tcBorders/>
            <w:shd w:fill="D5EBF6" w:val="clear"/>
            <w:vAlign w:val="center"/>
          </w:tcPr>
          <w:p>
            <w:pPr>
              <w:pStyle w:val="TableContents"/>
              <w:bidi w:val="0"/>
              <w:spacing w:before="0" w:after="283"/>
              <w:jc w:val="left"/>
              <w:rPr/>
            </w:pPr>
            <w:r>
              <w:rPr/>
              <w:t> </w:t>
            </w:r>
          </w:p>
        </w:tc>
        <w:tc>
          <w:tcPr>
            <w:tcW w:w="770" w:type="dxa"/>
            <w:tcBorders/>
            <w:shd w:fill="D5EBF6" w:val="clear"/>
            <w:vAlign w:val="center"/>
          </w:tcPr>
          <w:p>
            <w:pPr>
              <w:pStyle w:val="TableContents"/>
              <w:bidi w:val="0"/>
              <w:spacing w:before="0" w:after="283"/>
              <w:jc w:val="center"/>
              <w:rPr/>
            </w:pPr>
            <w:r>
              <w:rPr/>
              <w:t>25%</w:t>
            </w:r>
          </w:p>
        </w:tc>
        <w:tc>
          <w:tcPr>
            <w:tcW w:w="105"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5300" w:type="dxa"/>
            <w:tcBorders/>
            <w:shd w:fill="D5EBF6" w:val="clear"/>
            <w:vAlign w:val="center"/>
          </w:tcPr>
          <w:p>
            <w:pPr>
              <w:pStyle w:val="TableContents"/>
              <w:bidi w:val="0"/>
              <w:spacing w:before="0" w:after="283"/>
              <w:jc w:val="left"/>
              <w:rPr/>
            </w:pPr>
            <w:r>
              <w:rPr/>
              <w:t>Drive improved sales performance</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5360"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r>
              <w:rPr/>
              <w:t>FUEL Productivity</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12.5%</w:t>
            </w:r>
          </w:p>
        </w:tc>
        <w:tc>
          <w:tcPr>
            <w:tcW w:w="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Drive productivity and profits</w:t>
            </w:r>
          </w:p>
        </w:tc>
      </w:tr>
      <w:tr>
        <w:trPr/>
        <w:tc>
          <w:tcPr>
            <w:tcW w:w="3380" w:type="dxa"/>
            <w:tcBorders/>
            <w:shd w:fill="D5EBF6" w:val="clear"/>
            <w:vAlign w:val="center"/>
          </w:tcPr>
          <w:p>
            <w:pPr>
              <w:pStyle w:val="TableContents"/>
              <w:bidi w:val="0"/>
              <w:spacing w:before="0" w:after="283"/>
              <w:jc w:val="left"/>
              <w:rPr>
                <w:sz w:val="4"/>
                <w:szCs w:val="4"/>
              </w:rPr>
            </w:pPr>
            <w:r>
              <w:rPr>
                <w:sz w:val="4"/>
                <w:szCs w:val="4"/>
              </w:rPr>
            </w:r>
          </w:p>
        </w:tc>
        <w:tc>
          <w:tcPr>
            <w:tcW w:w="1145" w:type="dxa"/>
            <w:gridSpan w:val="5"/>
            <w:tcBorders/>
            <w:shd w:fill="D5EBF6" w:val="clear"/>
            <w:vAlign w:val="center"/>
          </w:tcPr>
          <w:p>
            <w:pPr>
              <w:pStyle w:val="TableContents"/>
              <w:bidi w:val="0"/>
              <w:spacing w:before="0" w:after="283"/>
              <w:jc w:val="left"/>
              <w:rPr>
                <w:sz w:val="4"/>
                <w:szCs w:val="4"/>
              </w:rPr>
            </w:pPr>
            <w:r>
              <w:rPr>
                <w:sz w:val="4"/>
                <w:szCs w:val="4"/>
              </w:rPr>
            </w:r>
          </w:p>
        </w:tc>
        <w:tc>
          <w:tcPr>
            <w:tcW w:w="536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0000"/>
            </w:tcBorders>
            <w:shd w:fill="D5EBF6" w:val="clear"/>
            <w:tcMar>
              <w:bottom w:w="120" w:type="dxa"/>
            </w:tcMar>
            <w:vAlign w:val="center"/>
          </w:tcPr>
          <w:p>
            <w:pPr>
              <w:pStyle w:val="TableContents"/>
              <w:bidi w:val="0"/>
              <w:spacing w:before="0" w:after="283"/>
              <w:jc w:val="left"/>
              <w:rPr/>
            </w:pPr>
            <w:r>
              <w:rPr/>
              <w:t> </w:t>
            </w:r>
            <w:r>
              <w:rPr/>
              <w:t>Weighted Forecast Accuracy</w:t>
            </w:r>
          </w:p>
        </w:tc>
        <w:tc>
          <w:tcPr>
            <w:tcW w:w="6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shd w:fill="D5EBF6" w:val="clear"/>
            <w:tcMar>
              <w:bottom w:w="120" w:type="dxa"/>
            </w:tcMar>
            <w:vAlign w:val="center"/>
          </w:tcPr>
          <w:p>
            <w:pPr>
              <w:pStyle w:val="TableContents"/>
              <w:bidi w:val="0"/>
              <w:spacing w:before="0" w:after="283"/>
              <w:jc w:val="left"/>
              <w:rPr/>
            </w:pPr>
            <w:r>
              <w:rPr/>
              <w:t> </w:t>
            </w:r>
          </w:p>
        </w:tc>
        <w:tc>
          <w:tcPr>
            <w:tcW w:w="770" w:type="dxa"/>
            <w:tcBorders>
              <w:bottom w:val="single" w:sz="6" w:space="0" w:color="000000"/>
            </w:tcBorders>
            <w:shd w:fill="D5EBF6" w:val="clear"/>
            <w:tcMar>
              <w:bottom w:w="120" w:type="dxa"/>
            </w:tcMar>
            <w:vAlign w:val="center"/>
          </w:tcPr>
          <w:p>
            <w:pPr>
              <w:pStyle w:val="TableContents"/>
              <w:bidi w:val="0"/>
              <w:spacing w:before="0" w:after="283"/>
              <w:jc w:val="center"/>
              <w:rPr/>
            </w:pPr>
            <w:r>
              <w:rPr/>
              <w:t>12.5%</w:t>
            </w:r>
          </w:p>
        </w:tc>
        <w:tc>
          <w:tcPr>
            <w:tcW w:w="105" w:type="dxa"/>
            <w:tcBorders>
              <w:bottom w:val="single" w:sz="6" w:space="0" w:color="000000"/>
            </w:tcBorders>
            <w:shd w:fill="D5EBF6" w:val="clear"/>
            <w:tcMar>
              <w:bottom w:w="120" w:type="dxa"/>
            </w:tcMar>
            <w:vAlign w:val="center"/>
          </w:tcPr>
          <w:p>
            <w:pPr>
              <w:pStyle w:val="TableContents"/>
              <w:bidi w:val="0"/>
              <w:spacing w:before="0" w:after="283"/>
              <w:jc w:val="left"/>
              <w:rPr/>
            </w:pPr>
            <w:r>
              <w:rPr/>
              <w:t> </w:t>
            </w:r>
          </w:p>
        </w:tc>
        <w:tc>
          <w:tcPr>
            <w:tcW w:w="6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5300" w:type="dxa"/>
            <w:tcBorders>
              <w:bottom w:val="single" w:sz="6" w:space="0" w:color="000000"/>
            </w:tcBorders>
            <w:shd w:fill="D5EBF6" w:val="clear"/>
            <w:tcMar>
              <w:bottom w:w="120" w:type="dxa"/>
            </w:tcMar>
            <w:vAlign w:val="center"/>
          </w:tcPr>
          <w:p>
            <w:pPr>
              <w:pStyle w:val="TableContents"/>
              <w:bidi w:val="0"/>
              <w:spacing w:before="0" w:after="283"/>
              <w:jc w:val="left"/>
              <w:rPr/>
            </w:pPr>
            <w:r>
              <w:rPr/>
              <w:t>Drive operational discipline and supply chain efficiency</w:t>
            </w:r>
          </w:p>
        </w:tc>
      </w:tr>
      <w:tr>
        <w:trPr/>
        <w:tc>
          <w:tcPr>
            <w:tcW w:w="338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0"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both"/>
              <w:rPr>
                <w:rFonts w:ascii="ARIAL" w:hAnsi="ARIAL"/>
                <w:sz w:val="18"/>
              </w:rPr>
            </w:pPr>
            <w:r>
              <w:rPr>
                <w:rFonts w:ascii="ARIAL" w:hAnsi="ARIAL"/>
                <w:sz w:val="18"/>
              </w:rPr>
              <w:t>Unless otherwise noted, each metric has the definition set forth under the “</w:t>
            </w:r>
            <w:r>
              <w:rPr>
                <w:rFonts w:ascii="ARIAL" w:hAnsi="ARIAL"/>
                <w:i/>
                <w:sz w:val="18"/>
              </w:rPr>
              <w:t>Corporate Goals</w:t>
            </w:r>
            <w:r>
              <w:rPr>
                <w:rFonts w:ascii="ARIAL" w:hAnsi="ARIAL"/>
                <w:sz w:val="18"/>
              </w:rPr>
              <w:t xml:space="preserve">” table above. Adjusted operating cash flow and adjusted operating income for a segment also exclude the unbudgeted impact of tariff changes during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(2)</w:t>
            </w:r>
          </w:p>
        </w:tc>
        <w:tc>
          <w:tcPr>
            <w:tcW w:w="9908" w:type="dxa"/>
            <w:tcBorders/>
            <w:vAlign w:val="center"/>
          </w:tcPr>
          <w:p>
            <w:pPr>
              <w:pStyle w:val="TableContents"/>
              <w:bidi w:val="0"/>
              <w:spacing w:before="0" w:after="0"/>
              <w:jc w:val="both"/>
              <w:rPr>
                <w:rFonts w:ascii="ARIAL" w:hAnsi="ARIAL"/>
                <w:sz w:val="18"/>
              </w:rPr>
            </w:pPr>
            <w:r>
              <w:rPr>
                <w:rFonts w:ascii="ARIAL" w:hAnsi="ARIAL"/>
                <w:sz w:val="18"/>
              </w:rPr>
              <w:t xml:space="preserve">Adjusted operating cash flow for a segment excludes the impact of factoring and is calculated using budgeted foreign exchange rates.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both"/>
              <w:rPr>
                <w:rFonts w:ascii="ARIAL" w:hAnsi="ARIAL"/>
                <w:sz w:val="18"/>
              </w:rPr>
            </w:pPr>
            <w:r>
              <w:rPr>
                <w:rFonts w:ascii="ARIAL" w:hAnsi="ARIAL"/>
                <w:sz w:val="18"/>
              </w:rPr>
              <w:t xml:space="preserve">Adjusted operating income for a segment is direct operating income, using budgeted foreign exchange rates, excluding corporate allocations and items excluded from the adjusted EPS calculation. Foreign currency transaction gains or losses are included in the calculation of adjusted operating income.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305"/>
        <w:gridCol w:w="7310"/>
      </w:tblGrid>
      <w:tr>
        <w:trPr/>
        <w:tc>
          <w:tcPr>
            <w:tcW w:w="305" w:type="dxa"/>
            <w:tcBorders/>
            <w:vAlign w:val="center"/>
          </w:tcPr>
          <w:p>
            <w:pPr>
              <w:pStyle w:val="TableContents"/>
              <w:bidi w:val="0"/>
              <w:spacing w:before="0" w:after="283"/>
              <w:jc w:val="left"/>
              <w:rPr/>
            </w:pPr>
            <w:r>
              <w:rPr/>
              <w:t>(4)</w:t>
            </w:r>
          </w:p>
        </w:tc>
        <w:tc>
          <w:tcPr>
            <w:tcW w:w="7310" w:type="dxa"/>
            <w:tcBorders/>
            <w:vAlign w:val="center"/>
          </w:tcPr>
          <w:p>
            <w:pPr>
              <w:pStyle w:val="TableContents"/>
              <w:bidi w:val="0"/>
              <w:spacing w:before="0" w:after="0"/>
              <w:jc w:val="both"/>
              <w:rPr>
                <w:rFonts w:ascii="ARIAL" w:hAnsi="ARIAL"/>
                <w:sz w:val="18"/>
              </w:rPr>
            </w:pPr>
            <w:r>
              <w:rPr>
                <w:rFonts w:ascii="ARIAL" w:hAnsi="ARIAL"/>
                <w:sz w:val="18"/>
              </w:rPr>
              <w:t xml:space="preserve">Core sales for a segment are translated at current-year foreign exchange budgeted rates. </w:t>
            </w:r>
          </w:p>
        </w:tc>
      </w:tr>
    </w:tbl>
    <w:p>
      <w:pPr>
        <w:pStyle w:val="TextBody"/>
        <w:bidi w:val="0"/>
        <w:spacing w:before="240" w:after="0"/>
        <w:jc w:val="both"/>
        <w:rPr>
          <w:rFonts w:ascii="ARIAL" w:hAnsi="ARIAL"/>
          <w:sz w:val="22"/>
        </w:rPr>
      </w:pPr>
      <w:r>
        <w:rPr>
          <w:rFonts w:ascii="ARIAL" w:hAnsi="ARIAL"/>
          <w:sz w:val="22"/>
        </w:rPr>
        <w:t xml:space="preserve">The Committee seeks to align the design, metrics and slopes for the Bonus Plan with the Company’s business conditions and strategy and to focus on the key metrics for the business. In 2025, the Committee continued to prioritize cash generation and earnings performance in the Bonus Plan design and accordingly weighted each of adjusted operating cash flow and adjusted EPS at 25% in the Corporate Goals and each of adjusted operating cash flow and adjusted operating income at 25% in the Segment Goals. The Committee also further emphasized improved sales performance in 2025 by increasing the core sales metric from 20% in 2024 to 25% in 2025, while reducing Fuel productivity and weighted forecast accuracy each from 15% in 2024 to 12.5% in 2025 in both the Corporate Goals and the Segment Goals. </w:t>
      </w:r>
    </w:p>
    <w:p>
      <w:pPr>
        <w:pStyle w:val="TextBody"/>
        <w:bidi w:val="0"/>
        <w:spacing w:before="240" w:after="0"/>
        <w:jc w:val="both"/>
        <w:rPr>
          <w:rFonts w:ascii="ARIAL" w:hAnsi="ARIAL"/>
          <w:sz w:val="22"/>
        </w:rPr>
      </w:pPr>
      <w:r>
        <w:rPr>
          <w:rFonts w:ascii="ARIAL" w:hAnsi="ARIAL"/>
          <w:sz w:val="22"/>
        </w:rPr>
        <w:t xml:space="preserve">In setting the 2025 performance targets, the Committee considered actual 2024 performance and factored in various expected business impacts and conditions. For example, the 2025 target for adjusted EPS was in line with the Company’s external guidance and reflected over a ten percent improvement relative to 2024 and over a 20 percent improvement on a constant tax basis. The 2025 Company-wide adjusted operating cash flow target was consistent with external guidance and roughly flat to 2024 actual results. Finally, the Company-wide core sales target for 2025 was in line with external guidance and represented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a flat rate of underlying core sales growth relative to 2024, taking into account currency changes and core sales exclusions, thus targeting significant improvement in the Company’s rate of core sales growth. The corporate and segment FUEL productivity targets for 2025 were lower than the prior-year actual performance, as continued operational improvement reduced opportunities for incremental savings year-over-year. Finally, the 2025 corporate and segment WFA targets represented significant improvement versus 2024 performance. </w:t>
      </w:r>
    </w:p>
    <w:p>
      <w:pPr>
        <w:pStyle w:val="TextBody"/>
        <w:bidi w:val="0"/>
        <w:spacing w:before="240" w:after="0"/>
        <w:jc w:val="both"/>
        <w:rPr>
          <w:rFonts w:ascii="ARIAL" w:hAnsi="ARIAL"/>
          <w:sz w:val="22"/>
        </w:rPr>
      </w:pPr>
      <w:r>
        <w:rPr>
          <w:rFonts w:ascii="ARIAL" w:hAnsi="ARIAL"/>
          <w:sz w:val="22"/>
        </w:rPr>
        <w:t xml:space="preserve">Recognizing the prospect of new tariffs from the incoming U.S. presidential administration at the time of setting the 2025 performance targets, the Committee included in the plan design adjustments to targets or performance calculations to reflect any unbudgeted significant impact of tariff changes during the performance period on the Company’s results relative to the Bonus Plan financial metrics. These adjustments are reflected below in the actual 2025 performance results for adjusted operating cash flow, adjusted EPS and adjusted operating income on a net impact basis. </w:t>
      </w:r>
    </w:p>
    <w:p>
      <w:pPr>
        <w:pStyle w:val="TextBody"/>
        <w:bidi w:val="0"/>
        <w:spacing w:before="240" w:after="0"/>
        <w:jc w:val="both"/>
        <w:rPr>
          <w:rFonts w:ascii="ARIAL" w:hAnsi="ARIAL"/>
          <w:sz w:val="22"/>
        </w:rPr>
      </w:pPr>
      <w:r>
        <w:rPr>
          <w:rFonts w:ascii="ARIAL" w:hAnsi="ARIAL"/>
          <w:sz w:val="22"/>
        </w:rPr>
        <w:t xml:space="preserve">The 2025 performance targets and actual performance against these targets for the named executive officers are summarized below. If a performance goal is met at the target level, as determined by the Committee, the target amount is paid for that goal. Performance above the target results in payment of a higher percentage of salary up to the pre-established cap. Performance below the target results in a lower bonus payment for that goal if a minimum threshold is met, or no payment if the minimum threshold is not met. There were no discretionary adjustments to any named executive officer’s annual bonus payout for 2025. </w:t>
      </w:r>
    </w:p>
    <w:p>
      <w:pPr>
        <w:pStyle w:val="TextBody"/>
        <w:bidi w:val="0"/>
        <w:spacing w:before="240" w:after="0"/>
        <w:jc w:val="center"/>
        <w:rPr>
          <w:rFonts w:ascii="ARIAL" w:hAnsi="ARIAL"/>
          <w:b/>
          <w:sz w:val="22"/>
          <w:u w:val="single"/>
        </w:rPr>
      </w:pPr>
      <w:r>
        <w:rPr>
          <w:rFonts w:ascii="ARIAL" w:hAnsi="ARIAL"/>
          <w:b/>
          <w:sz w:val="22"/>
          <w:u w:val="single"/>
        </w:rPr>
        <w:t xml:space="preserve">2025 Bonus Targets and Actual Performance </w:t>
      </w:r>
    </w:p>
    <w:p>
      <w:pPr>
        <w:pStyle w:val="TextBody"/>
        <w:bidi w:val="0"/>
        <w:spacing w:before="0" w:after="0"/>
        <w:jc w:val="left"/>
        <w:rPr/>
      </w:pPr>
      <w:r>
        <w:rPr/>
        <w:t> </w:t>
      </w:r>
    </w:p>
    <w:tbl>
      <w:tblPr>
        <w:tblW w:w="9525" w:type="dxa"/>
        <w:jc w:val="left"/>
        <w:tblInd w:w="0" w:type="dxa"/>
        <w:tblLayout w:type="fixed"/>
        <w:tblCellMar>
          <w:top w:w="0" w:type="dxa"/>
          <w:left w:w="0" w:type="dxa"/>
          <w:bottom w:w="0" w:type="dxa"/>
          <w:right w:w="0" w:type="dxa"/>
        </w:tblCellMar>
      </w:tblPr>
      <w:tblGrid>
        <w:gridCol w:w="2525"/>
        <w:gridCol w:w="60"/>
        <w:gridCol w:w="1475"/>
        <w:gridCol w:w="60"/>
        <w:gridCol w:w="1340"/>
        <w:gridCol w:w="60"/>
        <w:gridCol w:w="1430"/>
        <w:gridCol w:w="60"/>
        <w:gridCol w:w="1340"/>
        <w:gridCol w:w="60"/>
        <w:gridCol w:w="141"/>
        <w:gridCol w:w="899"/>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6"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Goal Category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tcMar>
              <w:bottom w:w="40" w:type="dxa"/>
            </w:tcMar>
            <w:vAlign w:val="center"/>
          </w:tcPr>
          <w:p>
            <w:pPr>
              <w:pStyle w:val="TableContents"/>
              <w:bidi w:val="0"/>
              <w:spacing w:before="0" w:after="283"/>
              <w:jc w:val="center"/>
              <w:rPr>
                <w:b/>
              </w:rPr>
            </w:pPr>
            <w:r>
              <w:rPr>
                <w:b/>
              </w:rPr>
              <w:t>Minimum</w:t>
              <w:br/>
              <w:t>Threshold for</w:t>
              <w:br/>
              <w:t>Payout(1)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40" w:type="dxa"/>
            </w:tcMar>
            <w:vAlign w:val="center"/>
          </w:tcPr>
          <w:p>
            <w:pPr>
              <w:pStyle w:val="TableContents"/>
              <w:bidi w:val="0"/>
              <w:spacing w:before="0" w:after="283"/>
              <w:jc w:val="center"/>
              <w:rPr>
                <w:b/>
              </w:rPr>
            </w:pPr>
            <w:r>
              <w:rPr>
                <w:b/>
              </w:rPr>
              <w:t>Target</w:t>
              <w:br/>
              <w:t>Payout at</w:t>
              <w:br/>
              <w:t>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40" w:type="dxa"/>
            </w:tcMar>
            <w:vAlign w:val="center"/>
          </w:tcPr>
          <w:p>
            <w:pPr>
              <w:pStyle w:val="TableContents"/>
              <w:bidi w:val="0"/>
              <w:spacing w:before="0" w:after="283"/>
              <w:jc w:val="center"/>
              <w:rPr>
                <w:b/>
              </w:rPr>
            </w:pPr>
            <w:r>
              <w:rPr>
                <w:b/>
              </w:rPr>
              <w:t>Performance</w:t>
              <w:br/>
              <w:t>for Maximum</w:t>
              <w:br/>
              <w:t>Payout(1)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40" w:type="dxa"/>
            </w:tcMar>
            <w:vAlign w:val="center"/>
          </w:tcPr>
          <w:p>
            <w:pPr>
              <w:pStyle w:val="TableContents"/>
              <w:bidi w:val="0"/>
              <w:spacing w:before="0" w:after="283"/>
              <w:jc w:val="center"/>
              <w:rPr>
                <w:b/>
              </w:rPr>
            </w:pPr>
            <w:r>
              <w:rPr>
                <w:b/>
              </w:rPr>
              <w:t>Actual</w:t>
              <w:br/>
              <w:t>Performance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Payout</w:t>
              <w:br/>
              <w:t>(as a % of</w:t>
              <w:br/>
              <w:t>Target)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525" w:type="dxa"/>
            <w:tcBorders>
              <w:bottom w:val="single" w:sz="6" w:space="0" w:color="000000"/>
            </w:tcBorders>
            <w:tcMar>
              <w:bottom w:w="28" w:type="dxa"/>
            </w:tcMar>
            <w:vAlign w:val="center"/>
          </w:tcPr>
          <w:p>
            <w:pPr>
              <w:pStyle w:val="TableContents"/>
              <w:bidi w:val="0"/>
              <w:spacing w:before="0" w:after="0"/>
              <w:jc w:val="both"/>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8350" w:type="dxa"/>
            <w:gridSpan w:val="9"/>
            <w:tcBorders/>
            <w:shd w:fill="D5EBF6" w:val="clear"/>
            <w:vAlign w:val="center"/>
          </w:tcPr>
          <w:p>
            <w:pPr>
              <w:pStyle w:val="TableContents"/>
              <w:bidi w:val="0"/>
              <w:spacing w:before="0" w:after="283"/>
              <w:jc w:val="left"/>
              <w:rPr>
                <w:sz w:val="4"/>
                <w:szCs w:val="4"/>
              </w:rPr>
            </w:pPr>
            <w:r>
              <w:rPr>
                <w:sz w:val="4"/>
                <w:szCs w:val="4"/>
              </w:rPr>
            </w:r>
          </w:p>
        </w:tc>
        <w:tc>
          <w:tcPr>
            <w:tcW w:w="117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8350" w:type="dxa"/>
            <w:gridSpan w:val="9"/>
            <w:tcBorders/>
            <w:shd w:fill="D5EBF6" w:val="clear"/>
            <w:vAlign w:val="center"/>
          </w:tcPr>
          <w:p>
            <w:pPr>
              <w:pStyle w:val="TableContents"/>
              <w:bidi w:val="0"/>
              <w:spacing w:before="0" w:after="0"/>
              <w:jc w:val="left"/>
              <w:rPr>
                <w:rFonts w:ascii="ARIAL" w:hAnsi="ARIAL"/>
                <w:b/>
                <w:i/>
                <w:sz w:val="18"/>
              </w:rPr>
            </w:pPr>
            <w:r>
              <w:rPr>
                <w:rFonts w:ascii="ARIAL" w:hAnsi="ARIAL"/>
                <w:b/>
                <w:i/>
                <w:sz w:val="18"/>
              </w:rPr>
              <w:t>Corporate Goals</w:t>
            </w:r>
          </w:p>
        </w:tc>
        <w:tc>
          <w:tcPr>
            <w:tcW w:w="60" w:type="dxa"/>
            <w:tcBorders/>
            <w:shd w:fill="D5EBF6" w:val="clear"/>
            <w:vAlign w:val="center"/>
          </w:tcPr>
          <w:p>
            <w:pPr>
              <w:pStyle w:val="TableContents"/>
              <w:bidi w:val="0"/>
              <w:spacing w:before="0" w:after="283"/>
              <w:jc w:val="left"/>
              <w:rPr/>
            </w:pPr>
            <w:r>
              <w:rPr/>
              <w:t> </w:t>
            </w:r>
          </w:p>
        </w:tc>
        <w:tc>
          <w:tcPr>
            <w:tcW w:w="141" w:type="dxa"/>
            <w:tcBorders/>
            <w:shd w:fill="D5EBF6" w:val="clear"/>
            <w:vAlign w:val="center"/>
          </w:tcPr>
          <w:p>
            <w:pPr>
              <w:pStyle w:val="TableContents"/>
              <w:bidi w:val="0"/>
              <w:spacing w:before="0" w:after="0"/>
              <w:jc w:val="left"/>
              <w:rPr/>
            </w:pPr>
            <w:r>
              <w:rPr/>
              <w:t> </w:t>
            </w:r>
          </w:p>
        </w:tc>
        <w:tc>
          <w:tcPr>
            <w:tcW w:w="899" w:type="dxa"/>
            <w:tcBorders/>
            <w:shd w:fill="D5EBF6" w:val="clear"/>
            <w:vAlign w:val="center"/>
          </w:tcPr>
          <w:p>
            <w:pPr>
              <w:pStyle w:val="TableContents"/>
              <w:bidi w:val="0"/>
              <w:spacing w:before="0" w:after="0"/>
              <w:jc w:val="left"/>
              <w:rPr/>
            </w:pPr>
            <w:r>
              <w:rPr/>
              <w:t> </w:t>
            </w:r>
          </w:p>
        </w:tc>
        <w:tc>
          <w:tcPr>
            <w:tcW w:w="75" w:type="dxa"/>
            <w:tcBorders/>
            <w:shd w:fill="D5EBF6" w:val="clear"/>
            <w:vAlign w:val="center"/>
          </w:tcPr>
          <w:p>
            <w:pPr>
              <w:pStyle w:val="TableContents"/>
              <w:bidi w:val="0"/>
              <w:spacing w:before="0" w:after="0"/>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ARIAL" w:hAnsi="ARIAL"/>
                <w:sz w:val="18"/>
              </w:rPr>
            </w:pPr>
            <w:r>
              <w:rPr>
                <w:rFonts w:ascii="ARIAL" w:hAnsi="ARIAL"/>
                <w:sz w:val="18"/>
              </w:rPr>
              <w:t>Adjusted Operating Cash Flow</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&gt;$350 million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$500 million</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$600 million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$476 million</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left"/>
              <w:rPr/>
            </w:pPr>
            <w:r>
              <w:rPr/>
              <w:t> </w:t>
            </w:r>
          </w:p>
        </w:tc>
      </w:tr>
      <w:tr>
        <w:trPr/>
        <w:tc>
          <w:tcPr>
            <w:tcW w:w="2525" w:type="dxa"/>
            <w:tcBorders/>
            <w:shd w:fill="D5EBF6" w:val="clear"/>
            <w:vAlign w:val="center"/>
          </w:tcPr>
          <w:p>
            <w:pPr>
              <w:pStyle w:val="TableContents"/>
              <w:bidi w:val="0"/>
              <w:spacing w:before="0" w:after="283"/>
              <w:jc w:val="left"/>
              <w:rPr>
                <w:sz w:val="4"/>
                <w:szCs w:val="4"/>
              </w:rPr>
            </w:pPr>
            <w:r>
              <w:rPr>
                <w:sz w:val="4"/>
                <w:szCs w:val="4"/>
              </w:rPr>
            </w:r>
          </w:p>
        </w:tc>
        <w:tc>
          <w:tcPr>
            <w:tcW w:w="1535"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49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525" w:type="dxa"/>
            <w:tcBorders/>
            <w:shd w:fill="D5EBF6" w:val="clear"/>
            <w:vAlign w:val="center"/>
          </w:tcPr>
          <w:p>
            <w:pPr>
              <w:pStyle w:val="TableContents"/>
              <w:bidi w:val="0"/>
              <w:spacing w:before="0" w:after="0"/>
              <w:jc w:val="left"/>
              <w:rPr>
                <w:rFonts w:ascii="ARIAL" w:hAnsi="ARIAL"/>
                <w:sz w:val="18"/>
              </w:rPr>
            </w:pPr>
            <w:r>
              <w:rPr>
                <w:rFonts w:ascii="ARIAL" w:hAnsi="ARIAL"/>
                <w:sz w:val="18"/>
              </w:rPr>
              <w:t>Adjusted Earnings Per Share</w:t>
            </w:r>
          </w:p>
        </w:tc>
        <w:tc>
          <w:tcPr>
            <w:tcW w:w="60" w:type="dxa"/>
            <w:tcBorders/>
            <w:shd w:fill="D5EBF6" w:val="clear"/>
            <w:vAlign w:val="center"/>
          </w:tcPr>
          <w:p>
            <w:pPr>
              <w:pStyle w:val="TableContents"/>
              <w:bidi w:val="0"/>
              <w:spacing w:before="0" w:after="283"/>
              <w:jc w:val="left"/>
              <w:rPr/>
            </w:pPr>
            <w:r>
              <w:rPr/>
              <w:t> </w:t>
            </w:r>
          </w:p>
        </w:tc>
        <w:tc>
          <w:tcPr>
            <w:tcW w:w="1475" w:type="dxa"/>
            <w:tcBorders/>
            <w:shd w:fill="D5EBF6" w:val="clear"/>
            <w:vAlign w:val="center"/>
          </w:tcPr>
          <w:p>
            <w:pPr>
              <w:pStyle w:val="TableContents"/>
              <w:bidi w:val="0"/>
              <w:spacing w:before="0" w:after="283"/>
              <w:jc w:val="center"/>
              <w:rPr/>
            </w:pPr>
            <w:r>
              <w:rPr/>
              <w:t>&gt;$.62</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$.75</w:t>
            </w:r>
          </w:p>
        </w:tc>
        <w:tc>
          <w:tcPr>
            <w:tcW w:w="60" w:type="dxa"/>
            <w:tcBorders/>
            <w:shd w:fill="D5EBF6" w:val="clear"/>
            <w:vAlign w:val="center"/>
          </w:tcPr>
          <w:p>
            <w:pPr>
              <w:pStyle w:val="TableContents"/>
              <w:bidi w:val="0"/>
              <w:spacing w:before="0" w:after="283"/>
              <w:jc w:val="left"/>
              <w:rPr/>
            </w:pPr>
            <w:r>
              <w:rPr/>
              <w:t> </w:t>
            </w:r>
          </w:p>
        </w:tc>
        <w:tc>
          <w:tcPr>
            <w:tcW w:w="1430" w:type="dxa"/>
            <w:tcBorders/>
            <w:shd w:fill="D5EBF6" w:val="clear"/>
            <w:vAlign w:val="center"/>
          </w:tcPr>
          <w:p>
            <w:pPr>
              <w:pStyle w:val="TableContents"/>
              <w:bidi w:val="0"/>
              <w:spacing w:before="0" w:after="283"/>
              <w:jc w:val="center"/>
              <w:rPr/>
            </w:pPr>
            <w:r>
              <w:rPr/>
              <w:t>$.82</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$.69</w:t>
            </w:r>
          </w:p>
        </w:tc>
        <w:tc>
          <w:tcPr>
            <w:tcW w:w="60" w:type="dxa"/>
            <w:tcBorders/>
            <w:shd w:fill="D5EBF6" w:val="clear"/>
            <w:vAlign w:val="center"/>
          </w:tcPr>
          <w:p>
            <w:pPr>
              <w:pStyle w:val="TableContents"/>
              <w:bidi w:val="0"/>
              <w:spacing w:before="0" w:after="283"/>
              <w:jc w:val="left"/>
              <w:rPr/>
            </w:pPr>
            <w:r>
              <w:rPr/>
              <w:t> </w:t>
            </w:r>
          </w:p>
        </w:tc>
        <w:tc>
          <w:tcPr>
            <w:tcW w:w="141" w:type="dxa"/>
            <w:tcBorders/>
            <w:shd w:fill="D5EBF6" w:val="clear"/>
            <w:vAlign w:val="center"/>
          </w:tcPr>
          <w:p>
            <w:pPr>
              <w:pStyle w:val="TableContents"/>
              <w:bidi w:val="0"/>
              <w:spacing w:before="0" w:after="283"/>
              <w:jc w:val="left"/>
              <w:rPr/>
            </w:pPr>
            <w:r>
              <w:rPr/>
              <w:t> </w:t>
            </w:r>
          </w:p>
        </w:tc>
        <w:tc>
          <w:tcPr>
            <w:tcW w:w="899" w:type="dxa"/>
            <w:tcBorders/>
            <w:shd w:fill="D5EBF6" w:val="clear"/>
            <w:vAlign w:val="center"/>
          </w:tcPr>
          <w:p>
            <w:pPr>
              <w:pStyle w:val="TableContents"/>
              <w:bidi w:val="0"/>
              <w:spacing w:before="0" w:after="283"/>
              <w:jc w:val="center"/>
              <w:rPr/>
            </w:pPr>
            <w:r>
              <w:rPr/>
              <w:t>75%</w:t>
            </w:r>
          </w:p>
        </w:tc>
        <w:tc>
          <w:tcPr>
            <w:tcW w:w="75" w:type="dxa"/>
            <w:tcBorders/>
            <w:shd w:fill="D5EBF6"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ARIAL" w:hAnsi="ARIAL"/>
                <w:sz w:val="18"/>
              </w:rPr>
            </w:pPr>
            <w:r>
              <w:rPr>
                <w:rFonts w:ascii="ARIAL" w:hAnsi="ARIAL"/>
                <w:sz w:val="18"/>
              </w:rPr>
              <w:t>Core Sales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&gt;$7.189 billion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$7.567 billion</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$7.718 billion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$7.213 billion</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r>
        <w:trPr/>
        <w:tc>
          <w:tcPr>
            <w:tcW w:w="2525" w:type="dxa"/>
            <w:tcBorders/>
            <w:shd w:fill="D5EBF6" w:val="clear"/>
            <w:vAlign w:val="center"/>
          </w:tcPr>
          <w:p>
            <w:pPr>
              <w:pStyle w:val="TableContents"/>
              <w:bidi w:val="0"/>
              <w:spacing w:before="0" w:after="283"/>
              <w:jc w:val="left"/>
              <w:rPr>
                <w:sz w:val="4"/>
                <w:szCs w:val="4"/>
              </w:rPr>
            </w:pPr>
            <w:r>
              <w:rPr>
                <w:sz w:val="4"/>
                <w:szCs w:val="4"/>
              </w:rPr>
            </w:r>
          </w:p>
        </w:tc>
        <w:tc>
          <w:tcPr>
            <w:tcW w:w="1535"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49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525" w:type="dxa"/>
            <w:tcBorders/>
            <w:shd w:fill="D5EBF6" w:val="clear"/>
            <w:vAlign w:val="center"/>
          </w:tcPr>
          <w:p>
            <w:pPr>
              <w:pStyle w:val="TableContents"/>
              <w:bidi w:val="0"/>
              <w:spacing w:before="0" w:after="0"/>
              <w:jc w:val="left"/>
              <w:rPr>
                <w:rFonts w:ascii="ARIAL" w:hAnsi="ARIAL"/>
                <w:sz w:val="18"/>
              </w:rPr>
            </w:pPr>
            <w:r>
              <w:rPr>
                <w:rFonts w:ascii="ARIAL" w:hAnsi="ARIAL"/>
                <w:sz w:val="18"/>
              </w:rPr>
              <w:t>FUEL Productivity</w:t>
            </w:r>
          </w:p>
        </w:tc>
        <w:tc>
          <w:tcPr>
            <w:tcW w:w="60" w:type="dxa"/>
            <w:tcBorders/>
            <w:shd w:fill="D5EBF6" w:val="clear"/>
            <w:vAlign w:val="center"/>
          </w:tcPr>
          <w:p>
            <w:pPr>
              <w:pStyle w:val="TableContents"/>
              <w:bidi w:val="0"/>
              <w:spacing w:before="0" w:after="283"/>
              <w:jc w:val="left"/>
              <w:rPr/>
            </w:pPr>
            <w:r>
              <w:rPr/>
              <w:t> </w:t>
            </w:r>
          </w:p>
        </w:tc>
        <w:tc>
          <w:tcPr>
            <w:tcW w:w="1475" w:type="dxa"/>
            <w:tcBorders/>
            <w:shd w:fill="D5EBF6" w:val="clear"/>
            <w:vAlign w:val="center"/>
          </w:tcPr>
          <w:p>
            <w:pPr>
              <w:pStyle w:val="TableContents"/>
              <w:bidi w:val="0"/>
              <w:spacing w:before="0" w:after="283"/>
              <w:jc w:val="center"/>
              <w:rPr/>
            </w:pPr>
            <w:r>
              <w:rPr/>
              <w:t>&gt;$150 million</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$200 million</w:t>
            </w:r>
          </w:p>
        </w:tc>
        <w:tc>
          <w:tcPr>
            <w:tcW w:w="60" w:type="dxa"/>
            <w:tcBorders/>
            <w:shd w:fill="D5EBF6" w:val="clear"/>
            <w:vAlign w:val="center"/>
          </w:tcPr>
          <w:p>
            <w:pPr>
              <w:pStyle w:val="TableContents"/>
              <w:bidi w:val="0"/>
              <w:spacing w:before="0" w:after="283"/>
              <w:jc w:val="left"/>
              <w:rPr/>
            </w:pPr>
            <w:r>
              <w:rPr/>
              <w:t> </w:t>
            </w:r>
          </w:p>
        </w:tc>
        <w:tc>
          <w:tcPr>
            <w:tcW w:w="1430" w:type="dxa"/>
            <w:tcBorders/>
            <w:shd w:fill="D5EBF6" w:val="clear"/>
            <w:vAlign w:val="center"/>
          </w:tcPr>
          <w:p>
            <w:pPr>
              <w:pStyle w:val="TableContents"/>
              <w:bidi w:val="0"/>
              <w:spacing w:before="0" w:after="283"/>
              <w:jc w:val="center"/>
              <w:rPr/>
            </w:pPr>
            <w:r>
              <w:rPr/>
              <w:t>$250 million</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$233 million</w:t>
            </w:r>
          </w:p>
        </w:tc>
        <w:tc>
          <w:tcPr>
            <w:tcW w:w="60" w:type="dxa"/>
            <w:tcBorders/>
            <w:shd w:fill="D5EBF6" w:val="clear"/>
            <w:vAlign w:val="center"/>
          </w:tcPr>
          <w:p>
            <w:pPr>
              <w:pStyle w:val="TableContents"/>
              <w:bidi w:val="0"/>
              <w:spacing w:before="0" w:after="283"/>
              <w:jc w:val="left"/>
              <w:rPr/>
            </w:pPr>
            <w:r>
              <w:rPr/>
              <w:t> </w:t>
            </w:r>
          </w:p>
        </w:tc>
        <w:tc>
          <w:tcPr>
            <w:tcW w:w="141" w:type="dxa"/>
            <w:tcBorders/>
            <w:shd w:fill="D5EBF6" w:val="clear"/>
            <w:vAlign w:val="center"/>
          </w:tcPr>
          <w:p>
            <w:pPr>
              <w:pStyle w:val="TableContents"/>
              <w:bidi w:val="0"/>
              <w:spacing w:before="0" w:after="283"/>
              <w:jc w:val="left"/>
              <w:rPr/>
            </w:pPr>
            <w:r>
              <w:rPr/>
              <w:t> </w:t>
            </w:r>
          </w:p>
        </w:tc>
        <w:tc>
          <w:tcPr>
            <w:tcW w:w="899" w:type="dxa"/>
            <w:tcBorders/>
            <w:shd w:fill="D5EBF6" w:val="clear"/>
            <w:vAlign w:val="center"/>
          </w:tcPr>
          <w:p>
            <w:pPr>
              <w:pStyle w:val="TableContents"/>
              <w:bidi w:val="0"/>
              <w:spacing w:before="0" w:after="283"/>
              <w:jc w:val="center"/>
              <w:rPr/>
            </w:pPr>
            <w:r>
              <w:rPr/>
              <w:t>166%</w:t>
            </w:r>
          </w:p>
        </w:tc>
        <w:tc>
          <w:tcPr>
            <w:tcW w:w="75" w:type="dxa"/>
            <w:tcBorders/>
            <w:shd w:fill="D5EBF6"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ARIAL" w:hAnsi="ARIAL"/>
                <w:sz w:val="18"/>
              </w:rPr>
            </w:pPr>
            <w:r>
              <w:rPr>
                <w:rFonts w:ascii="ARIAL" w:hAnsi="ARIAL"/>
                <w:sz w:val="18"/>
              </w:rPr>
              <w:t>Weighted Forecast Accuracy</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&gt;45%</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49%</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53%</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49.2%</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left"/>
              <w:rPr/>
            </w:pPr>
            <w:r>
              <w:rPr/>
              <w:t> </w:t>
            </w:r>
          </w:p>
        </w:tc>
      </w:tr>
      <w:tr>
        <w:trPr/>
        <w:tc>
          <w:tcPr>
            <w:tcW w:w="8350" w:type="dxa"/>
            <w:gridSpan w:val="9"/>
            <w:tcBorders>
              <w:top w:val="single" w:sz="6" w:space="0" w:color="000000"/>
              <w:bottom w:val="single" w:sz="6" w:space="0" w:color="000000"/>
            </w:tcBorders>
            <w:tcMar>
              <w:top w:w="28" w:type="dxa"/>
              <w:bottom w:w="28" w:type="dxa"/>
            </w:tcMar>
            <w:vAlign w:val="center"/>
          </w:tcPr>
          <w:p>
            <w:pPr>
              <w:pStyle w:val="TableContents"/>
              <w:bidi w:val="0"/>
              <w:spacing w:lineRule="atLeast" w:line="142" w:before="0" w:after="0"/>
              <w:jc w:val="both"/>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9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6950" w:type="dxa"/>
            <w:gridSpan w:val="7"/>
            <w:tcBorders/>
            <w:shd w:fill="CCCCCC"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i/>
                <w:sz w:val="18"/>
              </w:rPr>
            </w:pPr>
            <w:r>
              <w:rPr>
                <w:rFonts w:ascii="ARIAL" w:hAnsi="ARIAL"/>
                <w:b/>
                <w:i/>
                <w:sz w:val="18"/>
              </w:rPr>
              <w:t>Final Payout Percentage (Corporate Goals - all Named Executive Officers)</w:t>
            </w:r>
          </w:p>
        </w:tc>
        <w:tc>
          <w:tcPr>
            <w:tcW w:w="60" w:type="dxa"/>
            <w:tcBorders/>
            <w:shd w:fill="CCCCCC" w:val="clear"/>
            <w:vAlign w:val="center"/>
          </w:tcPr>
          <w:p>
            <w:pPr>
              <w:pStyle w:val="TableContents"/>
              <w:bidi w:val="0"/>
              <w:spacing w:before="0" w:after="283"/>
              <w:jc w:val="left"/>
              <w:rPr/>
            </w:pPr>
            <w:r>
              <w:rPr/>
              <w:t> </w:t>
            </w:r>
          </w:p>
        </w:tc>
        <w:tc>
          <w:tcPr>
            <w:tcW w:w="1340" w:type="dxa"/>
            <w:tcBorders/>
            <w:shd w:fill="CCCCCC" w:val="clear"/>
            <w:vAlign w:val="center"/>
          </w:tcPr>
          <w:p>
            <w:pPr>
              <w:pStyle w:val="TableContents"/>
              <w:bidi w:val="0"/>
              <w:spacing w:before="0" w:after="283"/>
              <w:jc w:val="left"/>
              <w:rPr>
                <w:sz w:val="4"/>
                <w:szCs w:val="4"/>
              </w:rPr>
            </w:pPr>
            <w:r>
              <w:rPr>
                <w:sz w:val="4"/>
                <w:szCs w:val="4"/>
              </w:rPr>
            </w:r>
          </w:p>
        </w:tc>
        <w:tc>
          <w:tcPr>
            <w:tcW w:w="60" w:type="dxa"/>
            <w:tcBorders/>
            <w:shd w:fill="CCCCCC" w:val="clear"/>
            <w:vAlign w:val="center"/>
          </w:tcPr>
          <w:p>
            <w:pPr>
              <w:pStyle w:val="TableContents"/>
              <w:bidi w:val="0"/>
              <w:spacing w:before="0" w:after="283"/>
              <w:jc w:val="left"/>
              <w:rPr/>
            </w:pPr>
            <w:r>
              <w:rPr/>
              <w:t> </w:t>
            </w:r>
          </w:p>
        </w:tc>
        <w:tc>
          <w:tcPr>
            <w:tcW w:w="141" w:type="dxa"/>
            <w:tcBorders/>
            <w:shd w:fill="CCCCCC" w:val="clear"/>
            <w:vAlign w:val="center"/>
          </w:tcPr>
          <w:p>
            <w:pPr>
              <w:pStyle w:val="TableContents"/>
              <w:bidi w:val="0"/>
              <w:spacing w:before="0" w:after="283"/>
              <w:jc w:val="left"/>
              <w:rPr/>
            </w:pPr>
            <w:r>
              <w:rPr/>
              <w:t> </w:t>
            </w:r>
          </w:p>
        </w:tc>
        <w:tc>
          <w:tcPr>
            <w:tcW w:w="899" w:type="dxa"/>
            <w:tcBorders/>
            <w:shd w:fill="CCCCCC" w:val="clear"/>
            <w:vAlign w:val="center"/>
          </w:tcPr>
          <w:p>
            <w:pPr>
              <w:pStyle w:val="TableContents"/>
              <w:bidi w:val="0"/>
              <w:spacing w:before="0" w:after="283"/>
              <w:jc w:val="center"/>
              <w:rPr>
                <w:b/>
              </w:rPr>
            </w:pPr>
            <w:r>
              <w:rPr>
                <w:b/>
              </w:rPr>
              <w:t>80%</w:t>
            </w:r>
          </w:p>
        </w:tc>
        <w:tc>
          <w:tcPr>
            <w:tcW w:w="75" w:type="dxa"/>
            <w:tcBorders/>
            <w:shd w:fill="CCCCCC" w:val="clear"/>
            <w:vAlign w:val="center"/>
          </w:tcPr>
          <w:p>
            <w:pPr>
              <w:pStyle w:val="TableContents"/>
              <w:bidi w:val="0"/>
              <w:spacing w:before="0" w:after="283"/>
              <w:jc w:val="left"/>
              <w:rPr/>
            </w:pPr>
            <w:r>
              <w:rPr/>
              <w:t> </w:t>
            </w:r>
          </w:p>
        </w:tc>
      </w:tr>
      <w:tr>
        <w:trPr/>
        <w:tc>
          <w:tcPr>
            <w:tcW w:w="8350" w:type="dxa"/>
            <w:gridSpan w:val="9"/>
            <w:tcBorders>
              <w:top w:val="single" w:sz="6" w:space="0" w:color="000000"/>
              <w:bottom w:val="single" w:sz="6" w:space="0" w:color="000000"/>
            </w:tcBorders>
            <w:tcMar>
              <w:top w:w="28" w:type="dxa"/>
              <w:bottom w:w="28" w:type="dxa"/>
            </w:tcMar>
            <w:vAlign w:val="center"/>
          </w:tcPr>
          <w:p>
            <w:pPr>
              <w:pStyle w:val="TableContents"/>
              <w:bidi w:val="0"/>
              <w:spacing w:lineRule="atLeast" w:line="142" w:before="0" w:after="0"/>
              <w:jc w:val="both"/>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9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6950" w:type="dxa"/>
            <w:gridSpan w:val="7"/>
            <w:tcBorders>
              <w:top w:val="single" w:sz="6" w:space="0" w:color="000000"/>
            </w:tcBorders>
            <w:shd w:fill="D5EBF6" w:val="clear"/>
            <w:tcMar>
              <w:top w:w="28" w:type="dxa"/>
            </w:tcMar>
            <w:vAlign w:val="center"/>
          </w:tcPr>
          <w:p>
            <w:pPr>
              <w:pStyle w:val="TableContents"/>
              <w:bidi w:val="0"/>
              <w:spacing w:before="0" w:after="283"/>
              <w:jc w:val="left"/>
              <w:rPr/>
            </w:pPr>
            <w:r>
              <w:rPr/>
              <w:t> </w:t>
            </w:r>
          </w:p>
        </w:tc>
        <w:tc>
          <w:tcPr>
            <w:tcW w:w="1400" w:type="dxa"/>
            <w:gridSpan w:val="2"/>
            <w:tcBorders>
              <w:top w:val="single" w:sz="6" w:space="0" w:color="000000"/>
            </w:tcBorders>
            <w:shd w:fill="D5EBF6" w:val="clear"/>
            <w:tcMar>
              <w:top w:w="28" w:type="dxa"/>
            </w:tcMar>
            <w:vAlign w:val="center"/>
          </w:tcPr>
          <w:p>
            <w:pPr>
              <w:pStyle w:val="TableContents"/>
              <w:bidi w:val="0"/>
              <w:spacing w:before="0" w:after="283"/>
              <w:jc w:val="left"/>
              <w:rPr/>
            </w:pPr>
            <w:r>
              <w:rPr/>
              <w:t> </w:t>
            </w:r>
          </w:p>
        </w:tc>
        <w:tc>
          <w:tcPr>
            <w:tcW w:w="1175" w:type="dxa"/>
            <w:gridSpan w:val="4"/>
            <w:tcBorders>
              <w:top w:val="single" w:sz="6" w:space="0" w:color="000000"/>
            </w:tcBorders>
            <w:shd w:fill="D5EBF6" w:val="clear"/>
            <w:tcMar>
              <w:top w:w="28" w:type="dxa"/>
            </w:tcMar>
            <w:vAlign w:val="center"/>
          </w:tcPr>
          <w:p>
            <w:pPr>
              <w:pStyle w:val="TableContents"/>
              <w:bidi w:val="0"/>
              <w:spacing w:before="0" w:after="283"/>
              <w:jc w:val="left"/>
              <w:rPr/>
            </w:pPr>
            <w:r>
              <w:rPr/>
              <w:t> </w:t>
            </w:r>
          </w:p>
        </w:tc>
      </w:tr>
      <w:tr>
        <w:trPr/>
        <w:tc>
          <w:tcPr>
            <w:tcW w:w="6950" w:type="dxa"/>
            <w:gridSpan w:val="7"/>
            <w:tcBorders/>
            <w:shd w:fill="D5EBF6" w:val="clear"/>
            <w:vAlign w:val="center"/>
          </w:tcPr>
          <w:p>
            <w:pPr>
              <w:pStyle w:val="TableContents"/>
              <w:bidi w:val="0"/>
              <w:spacing w:before="0" w:after="0"/>
              <w:jc w:val="left"/>
              <w:rPr>
                <w:rFonts w:ascii="ARIAL" w:hAnsi="ARIAL"/>
                <w:sz w:val="18"/>
              </w:rPr>
            </w:pPr>
            <w:r>
              <w:rPr>
                <w:rFonts w:ascii="ARIAL" w:hAnsi="ARIAL"/>
                <w:b/>
                <w:i/>
                <w:sz w:val="18"/>
              </w:rPr>
              <w:t>Learning and Development Segment Goals</w:t>
            </w:r>
            <w:r>
              <w:rPr>
                <w:rFonts w:ascii="ARIAL" w:hAnsi="ARIAL"/>
                <w:sz w:val="18"/>
              </w:rPr>
              <w:t xml:space="preserve"> </w:t>
            </w:r>
          </w:p>
          <w:p>
            <w:pPr>
              <w:pStyle w:val="TableContents"/>
              <w:bidi w:val="0"/>
              <w:spacing w:before="0" w:after="20"/>
              <w:jc w:val="left"/>
              <w:rPr>
                <w:rFonts w:ascii="ARIAL" w:hAnsi="ARIAL"/>
                <w:i/>
                <w:sz w:val="20"/>
              </w:rPr>
            </w:pPr>
            <w:r>
              <w:rPr>
                <w:rFonts w:ascii="ARIAL" w:hAnsi="ARIAL"/>
                <w:i/>
                <w:sz w:val="20"/>
              </w:rPr>
              <w:t>(Ms. Malkoski)</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41" w:type="dxa"/>
            <w:tcBorders/>
            <w:shd w:fill="D5EBF6" w:val="clear"/>
            <w:vAlign w:val="center"/>
          </w:tcPr>
          <w:p>
            <w:pPr>
              <w:pStyle w:val="TableContents"/>
              <w:bidi w:val="0"/>
              <w:spacing w:before="0" w:after="283"/>
              <w:jc w:val="left"/>
              <w:rPr>
                <w:sz w:val="4"/>
                <w:szCs w:val="4"/>
              </w:rPr>
            </w:pPr>
            <w:r>
              <w:rPr>
                <w:sz w:val="4"/>
                <w:szCs w:val="4"/>
              </w:rPr>
            </w:r>
          </w:p>
        </w:tc>
        <w:tc>
          <w:tcPr>
            <w:tcW w:w="899" w:type="dxa"/>
            <w:tcBorders/>
            <w:shd w:fill="D5EBF6" w:val="clear"/>
            <w:vAlign w:val="center"/>
          </w:tcPr>
          <w:p>
            <w:pPr>
              <w:pStyle w:val="TableContents"/>
              <w:bidi w:val="0"/>
              <w:spacing w:before="0" w:after="283"/>
              <w:jc w:val="left"/>
              <w:rPr>
                <w:sz w:val="4"/>
                <w:szCs w:val="4"/>
              </w:rPr>
            </w:pPr>
            <w:r>
              <w:rPr>
                <w:sz w:val="4"/>
                <w:szCs w:val="4"/>
              </w:rPr>
            </w:r>
          </w:p>
        </w:tc>
        <w:tc>
          <w:tcPr>
            <w:tcW w:w="75" w:type="dxa"/>
            <w:tcBorders/>
            <w:shd w:fill="D5EBF6" w:val="cle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ARIAL" w:hAnsi="ARIAL"/>
                <w:sz w:val="18"/>
              </w:rPr>
            </w:pPr>
            <w:r>
              <w:rPr>
                <w:rFonts w:ascii="ARIAL" w:hAnsi="ARIAL"/>
                <w:sz w:val="18"/>
              </w:rPr>
              <w:t>Adjusted Operating Cash Flow</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&gt;$400 million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$479 million</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$565 million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$542 million</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center"/>
              <w:rPr/>
            </w:pPr>
            <w:r>
              <w:rPr/>
              <w:t>171%</w:t>
            </w:r>
          </w:p>
        </w:tc>
        <w:tc>
          <w:tcPr>
            <w:tcW w:w="75" w:type="dxa"/>
            <w:tcBorders/>
            <w:vAlign w:val="center"/>
          </w:tcPr>
          <w:p>
            <w:pPr>
              <w:pStyle w:val="TableContents"/>
              <w:bidi w:val="0"/>
              <w:spacing w:before="0" w:after="283"/>
              <w:jc w:val="left"/>
              <w:rPr/>
            </w:pPr>
            <w:r>
              <w:rPr/>
              <w:t> </w:t>
            </w:r>
          </w:p>
        </w:tc>
      </w:tr>
      <w:tr>
        <w:trPr/>
        <w:tc>
          <w:tcPr>
            <w:tcW w:w="2525" w:type="dxa"/>
            <w:tcBorders/>
            <w:shd w:fill="D5EBF6" w:val="clear"/>
            <w:vAlign w:val="center"/>
          </w:tcPr>
          <w:p>
            <w:pPr>
              <w:pStyle w:val="TableContents"/>
              <w:bidi w:val="0"/>
              <w:spacing w:before="0" w:after="283"/>
              <w:jc w:val="left"/>
              <w:rPr>
                <w:sz w:val="4"/>
                <w:szCs w:val="4"/>
              </w:rPr>
            </w:pPr>
            <w:r>
              <w:rPr>
                <w:sz w:val="4"/>
                <w:szCs w:val="4"/>
              </w:rPr>
            </w:r>
          </w:p>
        </w:tc>
        <w:tc>
          <w:tcPr>
            <w:tcW w:w="1535"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49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525" w:type="dxa"/>
            <w:tcBorders/>
            <w:shd w:fill="D5EBF6" w:val="clear"/>
            <w:vAlign w:val="center"/>
          </w:tcPr>
          <w:p>
            <w:pPr>
              <w:pStyle w:val="TableContents"/>
              <w:bidi w:val="0"/>
              <w:spacing w:before="0" w:after="0"/>
              <w:jc w:val="left"/>
              <w:rPr>
                <w:rFonts w:ascii="ARIAL" w:hAnsi="ARIAL"/>
                <w:sz w:val="18"/>
              </w:rPr>
            </w:pPr>
            <w:r>
              <w:rPr>
                <w:rFonts w:ascii="ARIAL" w:hAnsi="ARIAL"/>
                <w:sz w:val="18"/>
              </w:rPr>
              <w:t>Adjusted Operating Income</w:t>
            </w:r>
          </w:p>
        </w:tc>
        <w:tc>
          <w:tcPr>
            <w:tcW w:w="60" w:type="dxa"/>
            <w:tcBorders/>
            <w:shd w:fill="D5EBF6" w:val="clear"/>
            <w:vAlign w:val="center"/>
          </w:tcPr>
          <w:p>
            <w:pPr>
              <w:pStyle w:val="TableContents"/>
              <w:bidi w:val="0"/>
              <w:spacing w:before="0" w:after="283"/>
              <w:jc w:val="left"/>
              <w:rPr/>
            </w:pPr>
            <w:r>
              <w:rPr/>
              <w:t> </w:t>
            </w:r>
          </w:p>
        </w:tc>
        <w:tc>
          <w:tcPr>
            <w:tcW w:w="1475" w:type="dxa"/>
            <w:tcBorders/>
            <w:shd w:fill="D5EBF6" w:val="clear"/>
            <w:vAlign w:val="center"/>
          </w:tcPr>
          <w:p>
            <w:pPr>
              <w:pStyle w:val="TableContents"/>
              <w:bidi w:val="0"/>
              <w:spacing w:before="0" w:after="283"/>
              <w:jc w:val="center"/>
              <w:rPr/>
            </w:pPr>
            <w:r>
              <w:rPr/>
              <w:t>&gt;$510 million</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$552 million</w:t>
            </w:r>
          </w:p>
        </w:tc>
        <w:tc>
          <w:tcPr>
            <w:tcW w:w="60" w:type="dxa"/>
            <w:tcBorders/>
            <w:shd w:fill="D5EBF6" w:val="clear"/>
            <w:vAlign w:val="center"/>
          </w:tcPr>
          <w:p>
            <w:pPr>
              <w:pStyle w:val="TableContents"/>
              <w:bidi w:val="0"/>
              <w:spacing w:before="0" w:after="283"/>
              <w:jc w:val="left"/>
              <w:rPr/>
            </w:pPr>
            <w:r>
              <w:rPr/>
              <w:t> </w:t>
            </w:r>
          </w:p>
        </w:tc>
        <w:tc>
          <w:tcPr>
            <w:tcW w:w="1430" w:type="dxa"/>
            <w:tcBorders/>
            <w:shd w:fill="D5EBF6" w:val="clear"/>
            <w:vAlign w:val="center"/>
          </w:tcPr>
          <w:p>
            <w:pPr>
              <w:pStyle w:val="TableContents"/>
              <w:bidi w:val="0"/>
              <w:spacing w:before="0" w:after="283"/>
              <w:jc w:val="center"/>
              <w:rPr/>
            </w:pPr>
            <w:r>
              <w:rPr/>
              <w:t>$600 million</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$562 million</w:t>
            </w:r>
          </w:p>
        </w:tc>
        <w:tc>
          <w:tcPr>
            <w:tcW w:w="60" w:type="dxa"/>
            <w:tcBorders/>
            <w:shd w:fill="D5EBF6" w:val="clear"/>
            <w:vAlign w:val="center"/>
          </w:tcPr>
          <w:p>
            <w:pPr>
              <w:pStyle w:val="TableContents"/>
              <w:bidi w:val="0"/>
              <w:spacing w:before="0" w:after="283"/>
              <w:jc w:val="left"/>
              <w:rPr/>
            </w:pPr>
            <w:r>
              <w:rPr/>
              <w:t> </w:t>
            </w:r>
          </w:p>
        </w:tc>
        <w:tc>
          <w:tcPr>
            <w:tcW w:w="141" w:type="dxa"/>
            <w:tcBorders/>
            <w:shd w:fill="D5EBF6" w:val="clear"/>
            <w:vAlign w:val="center"/>
          </w:tcPr>
          <w:p>
            <w:pPr>
              <w:pStyle w:val="TableContents"/>
              <w:bidi w:val="0"/>
              <w:spacing w:before="0" w:after="283"/>
              <w:jc w:val="left"/>
              <w:rPr/>
            </w:pPr>
            <w:r>
              <w:rPr/>
              <w:t> </w:t>
            </w:r>
          </w:p>
        </w:tc>
        <w:tc>
          <w:tcPr>
            <w:tcW w:w="899" w:type="dxa"/>
            <w:tcBorders/>
            <w:shd w:fill="D5EBF6" w:val="clear"/>
            <w:vAlign w:val="center"/>
          </w:tcPr>
          <w:p>
            <w:pPr>
              <w:pStyle w:val="TableContents"/>
              <w:bidi w:val="0"/>
              <w:spacing w:before="0" w:after="283"/>
              <w:jc w:val="center"/>
              <w:rPr/>
            </w:pPr>
            <w:r>
              <w:rPr/>
              <w:t>120%</w:t>
            </w:r>
          </w:p>
        </w:tc>
        <w:tc>
          <w:tcPr>
            <w:tcW w:w="75" w:type="dxa"/>
            <w:tcBorders/>
            <w:shd w:fill="D5EBF6"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ARIAL" w:hAnsi="ARIAL"/>
                <w:sz w:val="18"/>
              </w:rPr>
            </w:pPr>
            <w:r>
              <w:rPr>
                <w:rFonts w:ascii="ARIAL" w:hAnsi="ARIAL"/>
                <w:sz w:val="18"/>
              </w:rPr>
              <w:t>Core Sales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&gt;$2.595 billion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$2.700 billion</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$2.775 billion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$2.646 billion</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left"/>
              <w:rPr/>
            </w:pPr>
            <w:r>
              <w:rPr/>
              <w:t> </w:t>
            </w:r>
          </w:p>
        </w:tc>
      </w:tr>
      <w:tr>
        <w:trPr/>
        <w:tc>
          <w:tcPr>
            <w:tcW w:w="2525" w:type="dxa"/>
            <w:tcBorders/>
            <w:shd w:fill="D5EBF6" w:val="clear"/>
            <w:vAlign w:val="center"/>
          </w:tcPr>
          <w:p>
            <w:pPr>
              <w:pStyle w:val="TableContents"/>
              <w:bidi w:val="0"/>
              <w:spacing w:before="0" w:after="283"/>
              <w:jc w:val="left"/>
              <w:rPr>
                <w:sz w:val="4"/>
                <w:szCs w:val="4"/>
              </w:rPr>
            </w:pPr>
            <w:r>
              <w:rPr>
                <w:sz w:val="4"/>
                <w:szCs w:val="4"/>
              </w:rPr>
            </w:r>
          </w:p>
        </w:tc>
        <w:tc>
          <w:tcPr>
            <w:tcW w:w="1535"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49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525" w:type="dxa"/>
            <w:tcBorders/>
            <w:shd w:fill="D5EBF6" w:val="clear"/>
            <w:vAlign w:val="center"/>
          </w:tcPr>
          <w:p>
            <w:pPr>
              <w:pStyle w:val="TableContents"/>
              <w:bidi w:val="0"/>
              <w:spacing w:before="0" w:after="0"/>
              <w:jc w:val="left"/>
              <w:rPr>
                <w:rFonts w:ascii="ARIAL" w:hAnsi="ARIAL"/>
                <w:sz w:val="18"/>
              </w:rPr>
            </w:pPr>
            <w:r>
              <w:rPr>
                <w:rFonts w:ascii="ARIAL" w:hAnsi="ARIAL"/>
                <w:sz w:val="18"/>
              </w:rPr>
              <w:t>FUEL Productivity</w:t>
            </w:r>
          </w:p>
        </w:tc>
        <w:tc>
          <w:tcPr>
            <w:tcW w:w="60" w:type="dxa"/>
            <w:tcBorders/>
            <w:shd w:fill="D5EBF6" w:val="clear"/>
            <w:vAlign w:val="center"/>
          </w:tcPr>
          <w:p>
            <w:pPr>
              <w:pStyle w:val="TableContents"/>
              <w:bidi w:val="0"/>
              <w:spacing w:before="0" w:after="283"/>
              <w:jc w:val="left"/>
              <w:rPr/>
            </w:pPr>
            <w:r>
              <w:rPr/>
              <w:t> </w:t>
            </w:r>
          </w:p>
        </w:tc>
        <w:tc>
          <w:tcPr>
            <w:tcW w:w="1475" w:type="dxa"/>
            <w:tcBorders/>
            <w:shd w:fill="D5EBF6" w:val="clear"/>
            <w:vAlign w:val="center"/>
          </w:tcPr>
          <w:p>
            <w:pPr>
              <w:pStyle w:val="TableContents"/>
              <w:bidi w:val="0"/>
              <w:spacing w:before="0" w:after="283"/>
              <w:jc w:val="center"/>
              <w:rPr/>
            </w:pPr>
            <w:r>
              <w:rPr/>
              <w:t>&gt;40 million</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$57 million</w:t>
            </w:r>
          </w:p>
        </w:tc>
        <w:tc>
          <w:tcPr>
            <w:tcW w:w="60" w:type="dxa"/>
            <w:tcBorders/>
            <w:shd w:fill="D5EBF6" w:val="clear"/>
            <w:vAlign w:val="center"/>
          </w:tcPr>
          <w:p>
            <w:pPr>
              <w:pStyle w:val="TableContents"/>
              <w:bidi w:val="0"/>
              <w:spacing w:before="0" w:after="283"/>
              <w:jc w:val="left"/>
              <w:rPr/>
            </w:pPr>
            <w:r>
              <w:rPr/>
              <w:t> </w:t>
            </w:r>
          </w:p>
        </w:tc>
        <w:tc>
          <w:tcPr>
            <w:tcW w:w="1430" w:type="dxa"/>
            <w:tcBorders/>
            <w:shd w:fill="D5EBF6" w:val="clear"/>
            <w:vAlign w:val="center"/>
          </w:tcPr>
          <w:p>
            <w:pPr>
              <w:pStyle w:val="TableContents"/>
              <w:bidi w:val="0"/>
              <w:spacing w:before="0" w:after="283"/>
              <w:jc w:val="center"/>
              <w:rPr/>
            </w:pPr>
            <w:r>
              <w:rPr/>
              <w:t>$80 million</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$71 million</w:t>
            </w:r>
          </w:p>
        </w:tc>
        <w:tc>
          <w:tcPr>
            <w:tcW w:w="60" w:type="dxa"/>
            <w:tcBorders/>
            <w:shd w:fill="D5EBF6" w:val="clear"/>
            <w:vAlign w:val="center"/>
          </w:tcPr>
          <w:p>
            <w:pPr>
              <w:pStyle w:val="TableContents"/>
              <w:bidi w:val="0"/>
              <w:spacing w:before="0" w:after="283"/>
              <w:jc w:val="left"/>
              <w:rPr/>
            </w:pPr>
            <w:r>
              <w:rPr/>
              <w:t> </w:t>
            </w:r>
          </w:p>
        </w:tc>
        <w:tc>
          <w:tcPr>
            <w:tcW w:w="141" w:type="dxa"/>
            <w:tcBorders/>
            <w:shd w:fill="D5EBF6" w:val="clear"/>
            <w:vAlign w:val="center"/>
          </w:tcPr>
          <w:p>
            <w:pPr>
              <w:pStyle w:val="TableContents"/>
              <w:bidi w:val="0"/>
              <w:spacing w:before="0" w:after="283"/>
              <w:jc w:val="left"/>
              <w:rPr/>
            </w:pPr>
            <w:r>
              <w:rPr/>
              <w:t> </w:t>
            </w:r>
          </w:p>
        </w:tc>
        <w:tc>
          <w:tcPr>
            <w:tcW w:w="899" w:type="dxa"/>
            <w:tcBorders/>
            <w:shd w:fill="D5EBF6" w:val="clear"/>
            <w:vAlign w:val="center"/>
          </w:tcPr>
          <w:p>
            <w:pPr>
              <w:pStyle w:val="TableContents"/>
              <w:bidi w:val="0"/>
              <w:spacing w:before="0" w:after="283"/>
              <w:jc w:val="center"/>
              <w:rPr/>
            </w:pPr>
            <w:r>
              <w:rPr/>
              <w:t>168%</w:t>
            </w:r>
          </w:p>
        </w:tc>
        <w:tc>
          <w:tcPr>
            <w:tcW w:w="75" w:type="dxa"/>
            <w:tcBorders/>
            <w:shd w:fill="D5EBF6"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ARIAL" w:hAnsi="ARIAL"/>
                <w:sz w:val="18"/>
              </w:rPr>
            </w:pPr>
            <w:r>
              <w:rPr>
                <w:rFonts w:ascii="ARIAL" w:hAnsi="ARIAL"/>
                <w:sz w:val="18"/>
              </w:rPr>
              <w:t>Weighted Forecast Accuracy</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&gt;46%</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49%</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55%</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50.5%</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center"/>
              <w:rPr/>
            </w:pPr>
            <w:r>
              <w:rPr/>
              <w:t>138%</w:t>
            </w:r>
          </w:p>
        </w:tc>
        <w:tc>
          <w:tcPr>
            <w:tcW w:w="75" w:type="dxa"/>
            <w:tcBorders/>
            <w:vAlign w:val="center"/>
          </w:tcPr>
          <w:p>
            <w:pPr>
              <w:pStyle w:val="TableContents"/>
              <w:bidi w:val="0"/>
              <w:spacing w:before="0" w:after="283"/>
              <w:jc w:val="left"/>
              <w:rPr/>
            </w:pPr>
            <w:r>
              <w:rPr/>
              <w:t> </w:t>
            </w:r>
          </w:p>
        </w:tc>
      </w:tr>
      <w:tr>
        <w:trPr/>
        <w:tc>
          <w:tcPr>
            <w:tcW w:w="8350" w:type="dxa"/>
            <w:gridSpan w:val="9"/>
            <w:tcBorders>
              <w:top w:val="single" w:sz="6" w:space="0" w:color="000000"/>
              <w:bottom w:val="single" w:sz="6" w:space="0" w:color="000000"/>
            </w:tcBorders>
            <w:tcMar>
              <w:top w:w="28" w:type="dxa"/>
              <w:bottom w:w="28" w:type="dxa"/>
            </w:tcMar>
            <w:vAlign w:val="center"/>
          </w:tcPr>
          <w:p>
            <w:pPr>
              <w:pStyle w:val="TableContents"/>
              <w:bidi w:val="0"/>
              <w:spacing w:lineRule="atLeast" w:line="142" w:before="0" w:after="0"/>
              <w:jc w:val="both"/>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9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6950" w:type="dxa"/>
            <w:gridSpan w:val="7"/>
            <w:tcBorders/>
            <w:shd w:fill="CCCCCC"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i/>
                <w:sz w:val="18"/>
              </w:rPr>
            </w:pPr>
            <w:r>
              <w:rPr>
                <w:rFonts w:ascii="ARIAL" w:hAnsi="ARIAL"/>
                <w:b/>
                <w:i/>
                <w:sz w:val="18"/>
              </w:rPr>
              <w:t>Final Payout Percentage (Segment Goals - Malkoski)</w:t>
            </w:r>
          </w:p>
        </w:tc>
        <w:tc>
          <w:tcPr>
            <w:tcW w:w="60" w:type="dxa"/>
            <w:tcBorders/>
            <w:shd w:fill="CCCCCC" w:val="clear"/>
            <w:vAlign w:val="center"/>
          </w:tcPr>
          <w:p>
            <w:pPr>
              <w:pStyle w:val="TableContents"/>
              <w:bidi w:val="0"/>
              <w:spacing w:before="0" w:after="283"/>
              <w:jc w:val="left"/>
              <w:rPr/>
            </w:pPr>
            <w:r>
              <w:rPr/>
              <w:t> </w:t>
            </w:r>
          </w:p>
        </w:tc>
        <w:tc>
          <w:tcPr>
            <w:tcW w:w="1340" w:type="dxa"/>
            <w:tcBorders/>
            <w:shd w:fill="CCCCCC" w:val="clear"/>
            <w:vAlign w:val="center"/>
          </w:tcPr>
          <w:p>
            <w:pPr>
              <w:pStyle w:val="TableContents"/>
              <w:bidi w:val="0"/>
              <w:spacing w:before="0" w:after="283"/>
              <w:jc w:val="left"/>
              <w:rPr>
                <w:sz w:val="4"/>
                <w:szCs w:val="4"/>
              </w:rPr>
            </w:pPr>
            <w:r>
              <w:rPr>
                <w:sz w:val="4"/>
                <w:szCs w:val="4"/>
              </w:rPr>
            </w:r>
          </w:p>
        </w:tc>
        <w:tc>
          <w:tcPr>
            <w:tcW w:w="60" w:type="dxa"/>
            <w:tcBorders/>
            <w:shd w:fill="CCCCCC" w:val="clear"/>
            <w:vAlign w:val="center"/>
          </w:tcPr>
          <w:p>
            <w:pPr>
              <w:pStyle w:val="TableContents"/>
              <w:bidi w:val="0"/>
              <w:spacing w:before="0" w:after="283"/>
              <w:jc w:val="left"/>
              <w:rPr/>
            </w:pPr>
            <w:r>
              <w:rPr/>
              <w:t> </w:t>
            </w:r>
          </w:p>
        </w:tc>
        <w:tc>
          <w:tcPr>
            <w:tcW w:w="141" w:type="dxa"/>
            <w:tcBorders/>
            <w:shd w:fill="CCCCCC" w:val="clear"/>
            <w:vAlign w:val="center"/>
          </w:tcPr>
          <w:p>
            <w:pPr>
              <w:pStyle w:val="TableContents"/>
              <w:bidi w:val="0"/>
              <w:spacing w:before="0" w:after="283"/>
              <w:jc w:val="left"/>
              <w:rPr/>
            </w:pPr>
            <w:r>
              <w:rPr/>
              <w:t> </w:t>
            </w:r>
          </w:p>
        </w:tc>
        <w:tc>
          <w:tcPr>
            <w:tcW w:w="899" w:type="dxa"/>
            <w:tcBorders/>
            <w:shd w:fill="CCCCCC" w:val="clear"/>
            <w:vAlign w:val="center"/>
          </w:tcPr>
          <w:p>
            <w:pPr>
              <w:pStyle w:val="TableContents"/>
              <w:bidi w:val="0"/>
              <w:spacing w:before="0" w:after="283"/>
              <w:jc w:val="center"/>
              <w:rPr>
                <w:b/>
              </w:rPr>
            </w:pPr>
            <w:r>
              <w:rPr>
                <w:b/>
              </w:rPr>
              <w:t>128%</w:t>
            </w:r>
          </w:p>
        </w:tc>
        <w:tc>
          <w:tcPr>
            <w:tcW w:w="75" w:type="dxa"/>
            <w:tcBorders/>
            <w:shd w:fill="CCCCCC" w:val="clear"/>
            <w:vAlign w:val="center"/>
          </w:tcPr>
          <w:p>
            <w:pPr>
              <w:pStyle w:val="TableContents"/>
              <w:bidi w:val="0"/>
              <w:spacing w:before="0" w:after="283"/>
              <w:jc w:val="left"/>
              <w:rPr/>
            </w:pPr>
            <w:r>
              <w:rPr/>
              <w:t> </w:t>
            </w:r>
          </w:p>
        </w:tc>
      </w:tr>
      <w:tr>
        <w:trPr/>
        <w:tc>
          <w:tcPr>
            <w:tcW w:w="8350" w:type="dxa"/>
            <w:gridSpan w:val="9"/>
            <w:tcBorders>
              <w:top w:val="single" w:sz="6" w:space="0" w:color="000000"/>
              <w:bottom w:val="single" w:sz="6" w:space="0" w:color="000000"/>
            </w:tcBorders>
            <w:tcMar>
              <w:top w:w="28" w:type="dxa"/>
              <w:bottom w:w="28" w:type="dxa"/>
            </w:tcMar>
            <w:vAlign w:val="center"/>
          </w:tcPr>
          <w:p>
            <w:pPr>
              <w:pStyle w:val="TableContents"/>
              <w:bidi w:val="0"/>
              <w:spacing w:lineRule="atLeast" w:line="142" w:before="0" w:after="0"/>
              <w:jc w:val="both"/>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9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both"/>
              <w:rPr>
                <w:rFonts w:ascii="ARIAL" w:hAnsi="ARIAL"/>
                <w:sz w:val="18"/>
              </w:rPr>
            </w:pPr>
            <w:r>
              <w:rPr>
                <w:rFonts w:ascii="ARIAL" w:hAnsi="ARIAL"/>
                <w:sz w:val="18"/>
              </w:rPr>
              <w:t xml:space="preserve">Maximum payout percentage was 200% for each metric, and minimum payout percentage was 0% for each metric. There are also certain intermediate targets between the threshold and target performance levels and the target and maximum performance levels set forth in the table above. As such, the interpolation between the numbers shown in this table is not linear.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u w:val="single"/>
        </w:rPr>
      </w:pPr>
      <w:r>
        <w:rPr>
          <w:rFonts w:ascii="ARIAL" w:hAnsi="ARIAL"/>
          <w:i/>
          <w:sz w:val="22"/>
          <w:u w:val="single"/>
        </w:rPr>
        <w:t xml:space="preserve">Actual Payouts Under Bonus Plan </w:t>
      </w:r>
    </w:p>
    <w:p>
      <w:pPr>
        <w:pStyle w:val="TextBody"/>
        <w:bidi w:val="0"/>
        <w:spacing w:before="240" w:after="0"/>
        <w:jc w:val="both"/>
        <w:rPr>
          <w:rFonts w:ascii="ARIAL" w:hAnsi="ARIAL"/>
          <w:sz w:val="22"/>
        </w:rPr>
      </w:pPr>
      <w:r>
        <w:rPr>
          <w:rFonts w:ascii="ARIAL" w:hAnsi="ARIAL"/>
          <w:sz w:val="22"/>
        </w:rPr>
        <w:t>Actual performance as compared to the targets for the Corporate Performance Goals and Segment Performance Goals is shown in the table above titled “</w:t>
      </w:r>
      <w:r>
        <w:rPr>
          <w:rFonts w:ascii="ARIAL" w:hAnsi="ARIAL"/>
          <w:i/>
          <w:sz w:val="22"/>
        </w:rPr>
        <w:t>2025 Bonus Targets and Actual Performance</w:t>
      </w:r>
      <w:r>
        <w:rPr>
          <w:rFonts w:ascii="ARIAL" w:hAnsi="ARIAL"/>
          <w:sz w:val="22"/>
        </w:rPr>
        <w:t xml:space="preserve">.” The table below shows actual bonus payouts for 2025 to the named executive officers and 2025 target payouts as a percentage of their earned base salaries. </w:t>
      </w:r>
    </w:p>
    <w:p>
      <w:pPr>
        <w:pStyle w:val="TextBody"/>
        <w:bidi w:val="0"/>
        <w:spacing w:before="0" w:after="0"/>
        <w:jc w:val="left"/>
        <w:rPr/>
      </w:pPr>
      <w:r>
        <w:rPr/>
        <w:t> </w:t>
      </w:r>
    </w:p>
    <w:tbl>
      <w:tblPr>
        <w:tblW w:w="8975" w:type="dxa"/>
        <w:jc w:val="left"/>
        <w:tblInd w:w="0" w:type="dxa"/>
        <w:tblLayout w:type="fixed"/>
        <w:tblCellMar>
          <w:top w:w="0" w:type="dxa"/>
          <w:left w:w="0" w:type="dxa"/>
          <w:bottom w:w="0" w:type="dxa"/>
          <w:right w:w="0" w:type="dxa"/>
        </w:tblCellMar>
      </w:tblPr>
      <w:tblGrid>
        <w:gridCol w:w="2360"/>
        <w:gridCol w:w="120"/>
        <w:gridCol w:w="100"/>
        <w:gridCol w:w="1840"/>
        <w:gridCol w:w="60"/>
        <w:gridCol w:w="120"/>
        <w:gridCol w:w="278"/>
        <w:gridCol w:w="1767"/>
        <w:gridCol w:w="60"/>
        <w:gridCol w:w="120"/>
        <w:gridCol w:w="282"/>
        <w:gridCol w:w="1793"/>
        <w:gridCol w:w="75"/>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000000"/>
            </w:tcBorders>
            <w:tcMar>
              <w:bottom w:w="40" w:type="dxa"/>
            </w:tcMar>
            <w:vAlign w:val="center"/>
          </w:tcPr>
          <w:p>
            <w:pPr>
              <w:pStyle w:val="TableContents"/>
              <w:bidi w:val="0"/>
              <w:spacing w:before="0" w:after="283"/>
              <w:jc w:val="left"/>
              <w:rPr/>
            </w:pPr>
            <w:r>
              <w:rPr/>
              <w:t> </w:t>
            </w:r>
            <w:r>
              <w:rPr>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4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2025 Actual Bonus</w:t>
              <w:br/>
              <w:t>Payment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04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Target as % of</w:t>
              <w:br/>
              <w:t>Earned Base Salary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07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Actual Earned in</w:t>
              <w:br/>
              <w:t>2025 as % of Target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60" w:type="dxa"/>
            <w:tcBorders>
              <w:bottom w:val="single" w:sz="6" w:space="0" w:color="000000"/>
            </w:tcBorders>
            <w:tcMar>
              <w:bottom w:w="28" w:type="dxa"/>
            </w:tcMar>
            <w:vAlign w:val="center"/>
          </w:tcPr>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8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78" w:type="dxa"/>
            <w:tcBorders>
              <w:bottom w:val="single" w:sz="6" w:space="0" w:color="000000"/>
            </w:tcBorders>
            <w:tcMar>
              <w:bottom w:w="28" w:type="dxa"/>
            </w:tcMar>
            <w:vAlign w:val="center"/>
          </w:tcPr>
          <w:p>
            <w:pPr>
              <w:pStyle w:val="TableContents"/>
              <w:bidi w:val="0"/>
              <w:spacing w:before="0" w:after="283"/>
              <w:jc w:val="left"/>
              <w:rPr/>
            </w:pPr>
            <w:r>
              <w:rPr/>
              <w:t> </w:t>
            </w:r>
          </w:p>
        </w:tc>
        <w:tc>
          <w:tcPr>
            <w:tcW w:w="1767"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82" w:type="dxa"/>
            <w:tcBorders>
              <w:bottom w:val="single" w:sz="6" w:space="0" w:color="000000"/>
            </w:tcBorders>
            <w:tcMar>
              <w:bottom w:w="28" w:type="dxa"/>
            </w:tcMar>
            <w:vAlign w:val="center"/>
          </w:tcPr>
          <w:p>
            <w:pPr>
              <w:pStyle w:val="TableContents"/>
              <w:bidi w:val="0"/>
              <w:spacing w:before="0" w:after="283"/>
              <w:jc w:val="left"/>
              <w:rPr/>
            </w:pPr>
            <w:r>
              <w:rPr/>
              <w:t> </w:t>
            </w:r>
          </w:p>
        </w:tc>
        <w:tc>
          <w:tcPr>
            <w:tcW w:w="1793"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60" w:type="dxa"/>
            <w:tcBorders/>
            <w:shd w:fill="D5EBF6" w:val="clear"/>
            <w:vAlign w:val="center"/>
          </w:tcPr>
          <w:p>
            <w:pPr>
              <w:pStyle w:val="TableContents"/>
              <w:bidi w:val="0"/>
              <w:spacing w:before="0" w:after="283"/>
              <w:jc w:val="left"/>
              <w:rPr>
                <w:sz w:val="4"/>
                <w:szCs w:val="4"/>
              </w:rPr>
            </w:pPr>
            <w:r>
              <w:rPr>
                <w:sz w:val="4"/>
                <w:szCs w:val="4"/>
              </w:rPr>
            </w:r>
          </w:p>
        </w:tc>
        <w:tc>
          <w:tcPr>
            <w:tcW w:w="2120" w:type="dxa"/>
            <w:gridSpan w:val="4"/>
            <w:tcBorders/>
            <w:shd w:fill="D5EBF6" w:val="clear"/>
            <w:vAlign w:val="center"/>
          </w:tcPr>
          <w:p>
            <w:pPr>
              <w:pStyle w:val="TableContents"/>
              <w:bidi w:val="0"/>
              <w:spacing w:before="0" w:after="283"/>
              <w:jc w:val="left"/>
              <w:rPr>
                <w:sz w:val="4"/>
                <w:szCs w:val="4"/>
              </w:rPr>
            </w:pPr>
            <w:r>
              <w:rPr>
                <w:sz w:val="4"/>
                <w:szCs w:val="4"/>
              </w:rPr>
            </w:r>
          </w:p>
        </w:tc>
        <w:tc>
          <w:tcPr>
            <w:tcW w:w="2225" w:type="dxa"/>
            <w:gridSpan w:val="4"/>
            <w:tcBorders/>
            <w:shd w:fill="D5EBF6" w:val="clear"/>
            <w:vAlign w:val="center"/>
          </w:tcPr>
          <w:p>
            <w:pPr>
              <w:pStyle w:val="TableContents"/>
              <w:bidi w:val="0"/>
              <w:spacing w:before="0" w:after="283"/>
              <w:jc w:val="left"/>
              <w:rPr>
                <w:sz w:val="4"/>
                <w:szCs w:val="4"/>
              </w:rPr>
            </w:pPr>
            <w:r>
              <w:rPr>
                <w:sz w:val="4"/>
                <w:szCs w:val="4"/>
              </w:rPr>
            </w:r>
          </w:p>
        </w:tc>
        <w:tc>
          <w:tcPr>
            <w:tcW w:w="227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360" w:type="dxa"/>
            <w:tcBorders/>
            <w:shd w:fill="D5EBF6" w:val="clear"/>
            <w:vAlign w:val="center"/>
          </w:tcPr>
          <w:p>
            <w:pPr>
              <w:pStyle w:val="TableContents"/>
              <w:bidi w:val="0"/>
              <w:spacing w:before="0" w:after="0"/>
              <w:jc w:val="left"/>
              <w:rPr/>
            </w:pPr>
            <w:r>
              <w:rPr/>
              <w:t> </w:t>
            </w:r>
            <w:r>
              <w:rPr>
                <w:rFonts w:ascii="ARIAL" w:hAnsi="ARIAL"/>
                <w:sz w:val="20"/>
              </w:rPr>
              <w:t>Christopher H. Peterson</w:t>
            </w:r>
          </w:p>
        </w:tc>
        <w:tc>
          <w:tcPr>
            <w:tcW w:w="120" w:type="dxa"/>
            <w:tcBorders/>
            <w:shd w:fill="D5EBF6" w:val="clear"/>
            <w:vAlign w:val="center"/>
          </w:tcPr>
          <w:p>
            <w:pPr>
              <w:pStyle w:val="TableContents"/>
              <w:bidi w:val="0"/>
              <w:spacing w:before="0" w:after="283"/>
              <w:jc w:val="left"/>
              <w:rPr/>
            </w:pPr>
            <w:r>
              <w:rPr/>
              <w:t>  </w:t>
            </w:r>
          </w:p>
        </w:tc>
        <w:tc>
          <w:tcPr>
            <w:tcW w:w="100" w:type="dxa"/>
            <w:tcBorders/>
            <w:shd w:fill="D5EBF6" w:val="clear"/>
            <w:vAlign w:val="center"/>
          </w:tcPr>
          <w:p>
            <w:pPr>
              <w:pStyle w:val="TableContents"/>
              <w:bidi w:val="0"/>
              <w:spacing w:before="0" w:after="283"/>
              <w:jc w:val="left"/>
              <w:rPr/>
            </w:pPr>
            <w:r>
              <w:rPr/>
              <w:t> </w:t>
            </w:r>
          </w:p>
        </w:tc>
        <w:tc>
          <w:tcPr>
            <w:tcW w:w="1840" w:type="dxa"/>
            <w:tcBorders/>
            <w:shd w:fill="D5EBF6" w:val="clear"/>
            <w:vAlign w:val="center"/>
          </w:tcPr>
          <w:p>
            <w:pPr>
              <w:pStyle w:val="TableContents"/>
              <w:bidi w:val="0"/>
              <w:spacing w:before="0" w:after="283"/>
              <w:jc w:val="center"/>
              <w:rPr/>
            </w:pPr>
            <w:r>
              <w:rPr/>
              <w:t>$1,878,333</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278" w:type="dxa"/>
            <w:tcBorders/>
            <w:shd w:fill="D5EBF6" w:val="clear"/>
            <w:vAlign w:val="center"/>
          </w:tcPr>
          <w:p>
            <w:pPr>
              <w:pStyle w:val="TableContents"/>
              <w:bidi w:val="0"/>
              <w:spacing w:before="0" w:after="283"/>
              <w:jc w:val="left"/>
              <w:rPr/>
            </w:pPr>
            <w:r>
              <w:rPr/>
              <w:t> </w:t>
            </w:r>
          </w:p>
        </w:tc>
        <w:tc>
          <w:tcPr>
            <w:tcW w:w="1767" w:type="dxa"/>
            <w:tcBorders/>
            <w:shd w:fill="D5EBF6" w:val="clear"/>
            <w:vAlign w:val="center"/>
          </w:tcPr>
          <w:p>
            <w:pPr>
              <w:pStyle w:val="TableContents"/>
              <w:bidi w:val="0"/>
              <w:spacing w:before="0" w:after="283"/>
              <w:jc w:val="center"/>
              <w:rPr/>
            </w:pPr>
            <w:r>
              <w:rPr/>
              <w:t>175%</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282" w:type="dxa"/>
            <w:tcBorders/>
            <w:shd w:fill="D5EBF6" w:val="clear"/>
            <w:vAlign w:val="center"/>
          </w:tcPr>
          <w:p>
            <w:pPr>
              <w:pStyle w:val="TableContents"/>
              <w:bidi w:val="0"/>
              <w:spacing w:before="0" w:after="283"/>
              <w:jc w:val="left"/>
              <w:rPr/>
            </w:pPr>
            <w:r>
              <w:rPr/>
              <w:t> </w:t>
            </w:r>
          </w:p>
        </w:tc>
        <w:tc>
          <w:tcPr>
            <w:tcW w:w="1793" w:type="dxa"/>
            <w:tcBorders/>
            <w:shd w:fill="D5EBF6" w:val="clear"/>
            <w:vAlign w:val="center"/>
          </w:tcPr>
          <w:p>
            <w:pPr>
              <w:pStyle w:val="TableContents"/>
              <w:bidi w:val="0"/>
              <w:spacing w:before="0" w:after="283"/>
              <w:jc w:val="center"/>
              <w:rPr/>
            </w:pPr>
            <w:r>
              <w:rPr/>
              <w:t>80%</w:t>
            </w:r>
          </w:p>
        </w:tc>
        <w:tc>
          <w:tcPr>
            <w:tcW w:w="75" w:type="dxa"/>
            <w:tcBorders/>
            <w:shd w:fill="D5EBF6"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70" w:type="dxa"/>
            <w:gridSpan w:val="4"/>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0"/>
              <w:jc w:val="left"/>
              <w:rPr/>
            </w:pPr>
            <w:r>
              <w:rPr/>
              <w:t> </w:t>
            </w:r>
            <w:r>
              <w:rPr>
                <w:rFonts w:ascii="ARIAL" w:hAnsi="ARIAL"/>
                <w:sz w:val="20"/>
              </w:rPr>
              <w:t>Mark J. Erceg</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40" w:type="dxa"/>
            <w:tcBorders/>
            <w:vAlign w:val="center"/>
          </w:tcPr>
          <w:p>
            <w:pPr>
              <w:pStyle w:val="TableContents"/>
              <w:bidi w:val="0"/>
              <w:spacing w:before="0" w:after="283"/>
              <w:jc w:val="center"/>
              <w:rPr/>
            </w:pPr>
            <w:r>
              <w:rPr/>
              <w:t>$788,000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767" w:type="dxa"/>
            <w:tcBorders/>
            <w:vAlign w:val="center"/>
          </w:tcPr>
          <w:p>
            <w:pPr>
              <w:pStyle w:val="TableContents"/>
              <w:bidi w:val="0"/>
              <w:spacing w:before="0" w:after="283"/>
              <w:jc w:val="center"/>
              <w:rPr/>
            </w:pPr>
            <w:r>
              <w:rPr/>
              <w:t>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left"/>
              <w:rPr/>
            </w:pPr>
            <w:r>
              <w:rPr/>
              <w:t> </w:t>
            </w:r>
          </w:p>
        </w:tc>
      </w:tr>
      <w:tr>
        <w:trPr/>
        <w:tc>
          <w:tcPr>
            <w:tcW w:w="2360" w:type="dxa"/>
            <w:tcBorders/>
            <w:shd w:fill="D5EBF6" w:val="clear"/>
            <w:vAlign w:val="center"/>
          </w:tcPr>
          <w:p>
            <w:pPr>
              <w:pStyle w:val="TableContents"/>
              <w:bidi w:val="0"/>
              <w:spacing w:before="0" w:after="283"/>
              <w:jc w:val="left"/>
              <w:rPr>
                <w:sz w:val="4"/>
                <w:szCs w:val="4"/>
              </w:rPr>
            </w:pPr>
            <w:r>
              <w:rPr>
                <w:sz w:val="4"/>
                <w:szCs w:val="4"/>
              </w:rPr>
            </w:r>
          </w:p>
        </w:tc>
        <w:tc>
          <w:tcPr>
            <w:tcW w:w="2120" w:type="dxa"/>
            <w:gridSpan w:val="4"/>
            <w:tcBorders/>
            <w:shd w:fill="D5EBF6" w:val="clear"/>
            <w:vAlign w:val="center"/>
          </w:tcPr>
          <w:p>
            <w:pPr>
              <w:pStyle w:val="TableContents"/>
              <w:bidi w:val="0"/>
              <w:spacing w:before="0" w:after="283"/>
              <w:jc w:val="left"/>
              <w:rPr>
                <w:sz w:val="4"/>
                <w:szCs w:val="4"/>
              </w:rPr>
            </w:pPr>
            <w:r>
              <w:rPr>
                <w:sz w:val="4"/>
                <w:szCs w:val="4"/>
              </w:rPr>
            </w:r>
          </w:p>
        </w:tc>
        <w:tc>
          <w:tcPr>
            <w:tcW w:w="2225" w:type="dxa"/>
            <w:gridSpan w:val="4"/>
            <w:tcBorders/>
            <w:shd w:fill="D5EBF6" w:val="clear"/>
            <w:vAlign w:val="center"/>
          </w:tcPr>
          <w:p>
            <w:pPr>
              <w:pStyle w:val="TableContents"/>
              <w:bidi w:val="0"/>
              <w:spacing w:before="0" w:after="283"/>
              <w:jc w:val="left"/>
              <w:rPr>
                <w:sz w:val="4"/>
                <w:szCs w:val="4"/>
              </w:rPr>
            </w:pPr>
            <w:r>
              <w:rPr>
                <w:sz w:val="4"/>
                <w:szCs w:val="4"/>
              </w:rPr>
            </w:r>
          </w:p>
        </w:tc>
        <w:tc>
          <w:tcPr>
            <w:tcW w:w="227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360" w:type="dxa"/>
            <w:tcBorders/>
            <w:shd w:fill="D5EBF6" w:val="clear"/>
            <w:vAlign w:val="center"/>
          </w:tcPr>
          <w:p>
            <w:pPr>
              <w:pStyle w:val="TableContents"/>
              <w:bidi w:val="0"/>
              <w:spacing w:before="0" w:after="0"/>
              <w:jc w:val="left"/>
              <w:rPr/>
            </w:pPr>
            <w:r>
              <w:rPr/>
              <w:t> </w:t>
            </w:r>
            <w:r>
              <w:rPr>
                <w:rFonts w:ascii="ARIAL" w:hAnsi="ARIAL"/>
                <w:sz w:val="20"/>
              </w:rPr>
              <w:t>Bradford R. Turner</w:t>
            </w:r>
          </w:p>
        </w:tc>
        <w:tc>
          <w:tcPr>
            <w:tcW w:w="120" w:type="dxa"/>
            <w:tcBorders/>
            <w:shd w:fill="D5EBF6" w:val="clear"/>
            <w:vAlign w:val="center"/>
          </w:tcPr>
          <w:p>
            <w:pPr>
              <w:pStyle w:val="TableContents"/>
              <w:bidi w:val="0"/>
              <w:spacing w:before="0" w:after="283"/>
              <w:jc w:val="left"/>
              <w:rPr/>
            </w:pPr>
            <w:r>
              <w:rPr/>
              <w:t>  </w:t>
            </w:r>
          </w:p>
        </w:tc>
        <w:tc>
          <w:tcPr>
            <w:tcW w:w="100" w:type="dxa"/>
            <w:tcBorders/>
            <w:shd w:fill="D5EBF6" w:val="clear"/>
            <w:vAlign w:val="center"/>
          </w:tcPr>
          <w:p>
            <w:pPr>
              <w:pStyle w:val="TableContents"/>
              <w:bidi w:val="0"/>
              <w:spacing w:before="0" w:after="283"/>
              <w:jc w:val="left"/>
              <w:rPr/>
            </w:pPr>
            <w:r>
              <w:rPr/>
              <w:t> </w:t>
            </w:r>
          </w:p>
        </w:tc>
        <w:tc>
          <w:tcPr>
            <w:tcW w:w="1840" w:type="dxa"/>
            <w:tcBorders/>
            <w:shd w:fill="D5EBF6" w:val="clear"/>
            <w:vAlign w:val="center"/>
          </w:tcPr>
          <w:p>
            <w:pPr>
              <w:pStyle w:val="TableContents"/>
              <w:bidi w:val="0"/>
              <w:spacing w:before="0" w:after="283"/>
              <w:jc w:val="center"/>
              <w:rPr/>
            </w:pPr>
            <w:r>
              <w:rPr/>
              <w:t>$626,500</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278" w:type="dxa"/>
            <w:tcBorders/>
            <w:shd w:fill="D5EBF6" w:val="clear"/>
            <w:vAlign w:val="center"/>
          </w:tcPr>
          <w:p>
            <w:pPr>
              <w:pStyle w:val="TableContents"/>
              <w:bidi w:val="0"/>
              <w:spacing w:before="0" w:after="283"/>
              <w:jc w:val="left"/>
              <w:rPr/>
            </w:pPr>
            <w:r>
              <w:rPr/>
              <w:t> </w:t>
            </w:r>
          </w:p>
        </w:tc>
        <w:tc>
          <w:tcPr>
            <w:tcW w:w="1767" w:type="dxa"/>
            <w:tcBorders/>
            <w:shd w:fill="D5EBF6" w:val="clear"/>
            <w:vAlign w:val="center"/>
          </w:tcPr>
          <w:p>
            <w:pPr>
              <w:pStyle w:val="TableContents"/>
              <w:bidi w:val="0"/>
              <w:spacing w:before="0" w:after="283"/>
              <w:jc w:val="center"/>
              <w:rPr/>
            </w:pPr>
            <w:r>
              <w:rPr/>
              <w:t>105%</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282" w:type="dxa"/>
            <w:tcBorders/>
            <w:shd w:fill="D5EBF6" w:val="clear"/>
            <w:vAlign w:val="center"/>
          </w:tcPr>
          <w:p>
            <w:pPr>
              <w:pStyle w:val="TableContents"/>
              <w:bidi w:val="0"/>
              <w:spacing w:before="0" w:after="283"/>
              <w:jc w:val="left"/>
              <w:rPr/>
            </w:pPr>
            <w:r>
              <w:rPr/>
              <w:t> </w:t>
            </w:r>
          </w:p>
        </w:tc>
        <w:tc>
          <w:tcPr>
            <w:tcW w:w="1793" w:type="dxa"/>
            <w:tcBorders/>
            <w:shd w:fill="D5EBF6" w:val="clear"/>
            <w:vAlign w:val="center"/>
          </w:tcPr>
          <w:p>
            <w:pPr>
              <w:pStyle w:val="TableContents"/>
              <w:bidi w:val="0"/>
              <w:spacing w:before="0" w:after="283"/>
              <w:jc w:val="center"/>
              <w:rPr/>
            </w:pPr>
            <w:r>
              <w:rPr/>
              <w:t>80%</w:t>
            </w:r>
          </w:p>
        </w:tc>
        <w:tc>
          <w:tcPr>
            <w:tcW w:w="75" w:type="dxa"/>
            <w:tcBorders/>
            <w:shd w:fill="D5EBF6"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70" w:type="dxa"/>
            <w:gridSpan w:val="4"/>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0"/>
              <w:jc w:val="left"/>
              <w:rPr/>
            </w:pPr>
            <w:r>
              <w:rPr/>
              <w:t> </w:t>
            </w:r>
            <w:r>
              <w:rPr>
                <w:rFonts w:ascii="ARIAL" w:hAnsi="ARIAL"/>
                <w:sz w:val="20"/>
              </w:rPr>
              <w:t>Tracy L. Platt</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40" w:type="dxa"/>
            <w:tcBorders/>
            <w:vAlign w:val="center"/>
          </w:tcPr>
          <w:p>
            <w:pPr>
              <w:pStyle w:val="TableContents"/>
              <w:bidi w:val="0"/>
              <w:spacing w:before="0" w:after="283"/>
              <w:jc w:val="center"/>
              <w:rPr/>
            </w:pPr>
            <w:r>
              <w:rPr/>
              <w:t>$522,000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767" w:type="dxa"/>
            <w:tcBorders/>
            <w:vAlign w:val="center"/>
          </w:tcPr>
          <w:p>
            <w:pPr>
              <w:pStyle w:val="TableContents"/>
              <w:bidi w:val="0"/>
              <w:spacing w:before="0" w:after="283"/>
              <w:jc w:val="center"/>
              <w:rPr/>
            </w:pPr>
            <w:r>
              <w:rPr/>
              <w:t>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left"/>
              <w:rPr/>
            </w:pPr>
            <w:r>
              <w:rPr/>
              <w:t> </w:t>
            </w:r>
          </w:p>
        </w:tc>
      </w:tr>
      <w:tr>
        <w:trPr/>
        <w:tc>
          <w:tcPr>
            <w:tcW w:w="2360" w:type="dxa"/>
            <w:tcBorders/>
            <w:shd w:fill="D5EBF6" w:val="clear"/>
            <w:vAlign w:val="center"/>
          </w:tcPr>
          <w:p>
            <w:pPr>
              <w:pStyle w:val="TableContents"/>
              <w:bidi w:val="0"/>
              <w:spacing w:before="0" w:after="283"/>
              <w:jc w:val="left"/>
              <w:rPr>
                <w:sz w:val="4"/>
                <w:szCs w:val="4"/>
              </w:rPr>
            </w:pPr>
            <w:r>
              <w:rPr>
                <w:sz w:val="4"/>
                <w:szCs w:val="4"/>
              </w:rPr>
            </w:r>
          </w:p>
        </w:tc>
        <w:tc>
          <w:tcPr>
            <w:tcW w:w="2120" w:type="dxa"/>
            <w:gridSpan w:val="4"/>
            <w:tcBorders/>
            <w:shd w:fill="D5EBF6" w:val="clear"/>
            <w:vAlign w:val="center"/>
          </w:tcPr>
          <w:p>
            <w:pPr>
              <w:pStyle w:val="TableContents"/>
              <w:bidi w:val="0"/>
              <w:spacing w:before="0" w:after="283"/>
              <w:jc w:val="left"/>
              <w:rPr>
                <w:sz w:val="4"/>
                <w:szCs w:val="4"/>
              </w:rPr>
            </w:pPr>
            <w:r>
              <w:rPr>
                <w:sz w:val="4"/>
                <w:szCs w:val="4"/>
              </w:rPr>
            </w:r>
          </w:p>
        </w:tc>
        <w:tc>
          <w:tcPr>
            <w:tcW w:w="2225" w:type="dxa"/>
            <w:gridSpan w:val="4"/>
            <w:tcBorders/>
            <w:shd w:fill="D5EBF6" w:val="clear"/>
            <w:vAlign w:val="center"/>
          </w:tcPr>
          <w:p>
            <w:pPr>
              <w:pStyle w:val="TableContents"/>
              <w:bidi w:val="0"/>
              <w:spacing w:before="0" w:after="283"/>
              <w:jc w:val="left"/>
              <w:rPr>
                <w:sz w:val="4"/>
                <w:szCs w:val="4"/>
              </w:rPr>
            </w:pPr>
            <w:r>
              <w:rPr>
                <w:sz w:val="4"/>
                <w:szCs w:val="4"/>
              </w:rPr>
            </w:r>
          </w:p>
        </w:tc>
        <w:tc>
          <w:tcPr>
            <w:tcW w:w="227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000000"/>
            </w:tcBorders>
            <w:shd w:fill="D5EBF6" w:val="clear"/>
            <w:tcMar>
              <w:bottom w:w="40" w:type="dxa"/>
            </w:tcMar>
            <w:vAlign w:val="center"/>
          </w:tcPr>
          <w:p>
            <w:pPr>
              <w:pStyle w:val="TableContents"/>
              <w:bidi w:val="0"/>
              <w:spacing w:before="0" w:after="0"/>
              <w:jc w:val="left"/>
              <w:rPr/>
            </w:pPr>
            <w:r>
              <w:rPr/>
              <w:t> </w:t>
            </w:r>
            <w:r>
              <w:rPr>
                <w:rFonts w:ascii="ARIAL" w:hAnsi="ARIAL"/>
                <w:sz w:val="20"/>
              </w:rPr>
              <w:t>Kristine K. Malkoski</w:t>
            </w:r>
          </w:p>
        </w:tc>
        <w:tc>
          <w:tcPr>
            <w:tcW w:w="12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c>
          <w:tcPr>
            <w:tcW w:w="1840" w:type="dxa"/>
            <w:tcBorders>
              <w:bottom w:val="single" w:sz="6" w:space="0" w:color="000000"/>
            </w:tcBorders>
            <w:shd w:fill="D5EBF6" w:val="clear"/>
            <w:tcMar>
              <w:bottom w:w="40" w:type="dxa"/>
            </w:tcMar>
            <w:vAlign w:val="center"/>
          </w:tcPr>
          <w:p>
            <w:pPr>
              <w:pStyle w:val="TableContents"/>
              <w:bidi w:val="0"/>
              <w:spacing w:before="0" w:after="283"/>
              <w:jc w:val="center"/>
              <w:rPr/>
            </w:pPr>
            <w:r>
              <w:rPr/>
              <w:t>$739,575</w:t>
            </w:r>
          </w:p>
        </w:tc>
        <w:tc>
          <w:tcPr>
            <w:tcW w:w="60"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278"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c>
          <w:tcPr>
            <w:tcW w:w="1767" w:type="dxa"/>
            <w:tcBorders>
              <w:bottom w:val="single" w:sz="6" w:space="0" w:color="000000"/>
            </w:tcBorders>
            <w:shd w:fill="D5EBF6" w:val="clear"/>
            <w:tcMar>
              <w:bottom w:w="40" w:type="dxa"/>
            </w:tcMar>
            <w:vAlign w:val="center"/>
          </w:tcPr>
          <w:p>
            <w:pPr>
              <w:pStyle w:val="TableContents"/>
              <w:bidi w:val="0"/>
              <w:spacing w:before="0" w:after="283"/>
              <w:jc w:val="center"/>
              <w:rPr/>
            </w:pPr>
            <w:r>
              <w:rPr/>
              <w:t>90%</w:t>
            </w:r>
          </w:p>
        </w:tc>
        <w:tc>
          <w:tcPr>
            <w:tcW w:w="60"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282"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c>
          <w:tcPr>
            <w:tcW w:w="1793" w:type="dxa"/>
            <w:tcBorders>
              <w:bottom w:val="single" w:sz="6" w:space="0" w:color="000000"/>
            </w:tcBorders>
            <w:shd w:fill="D5EBF6" w:val="clear"/>
            <w:tcMar>
              <w:bottom w:w="40" w:type="dxa"/>
            </w:tcMar>
            <w:vAlign w:val="center"/>
          </w:tcPr>
          <w:p>
            <w:pPr>
              <w:pStyle w:val="TableContents"/>
              <w:bidi w:val="0"/>
              <w:spacing w:before="0" w:after="283"/>
              <w:jc w:val="center"/>
              <w:rPr/>
            </w:pPr>
            <w:r>
              <w:rPr/>
              <w:t>114%</w:t>
            </w:r>
          </w:p>
        </w:tc>
        <w:tc>
          <w:tcPr>
            <w:tcW w:w="75"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r>
      <w:tr>
        <w:trPr/>
        <w:tc>
          <w:tcPr>
            <w:tcW w:w="23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840"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78" w:type="dxa"/>
            <w:tcBorders>
              <w:bottom w:val="single" w:sz="6" w:space="0" w:color="000000"/>
            </w:tcBorders>
            <w:tcMar>
              <w:bottom w:w="28" w:type="dxa"/>
            </w:tcMar>
            <w:vAlign w:val="center"/>
          </w:tcPr>
          <w:p>
            <w:pPr>
              <w:pStyle w:val="TableContents"/>
              <w:bidi w:val="0"/>
              <w:spacing w:before="0" w:after="283"/>
              <w:jc w:val="left"/>
              <w:rPr/>
            </w:pPr>
            <w:r>
              <w:rPr/>
              <w:t> </w:t>
            </w:r>
          </w:p>
        </w:tc>
        <w:tc>
          <w:tcPr>
            <w:tcW w:w="1767"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82" w:type="dxa"/>
            <w:tcBorders>
              <w:bottom w:val="single" w:sz="6" w:space="0" w:color="000000"/>
            </w:tcBorders>
            <w:tcMar>
              <w:bottom w:w="28" w:type="dxa"/>
            </w:tcMar>
            <w:vAlign w:val="center"/>
          </w:tcPr>
          <w:p>
            <w:pPr>
              <w:pStyle w:val="TableContents"/>
              <w:bidi w:val="0"/>
              <w:spacing w:before="0" w:after="283"/>
              <w:jc w:val="left"/>
              <w:rPr/>
            </w:pPr>
            <w:r>
              <w:rPr/>
              <w:t> </w:t>
            </w:r>
          </w:p>
        </w:tc>
        <w:tc>
          <w:tcPr>
            <w:tcW w:w="1793"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2"/>
        </w:rPr>
      </w:pPr>
      <w:r>
        <w:rPr>
          <w:rFonts w:ascii="ARIAL" w:hAnsi="ARIAL"/>
          <w:sz w:val="22"/>
        </w:rPr>
        <w:t>Additional information appears in the “</w:t>
      </w:r>
      <w:r>
        <w:rPr>
          <w:rFonts w:ascii="ARIAL" w:hAnsi="ARIAL"/>
          <w:i/>
          <w:sz w:val="22"/>
        </w:rPr>
        <w:t>Estimated Possible Payouts Under Non-Equity Incentive Plan Awards</w:t>
      </w:r>
      <w:r>
        <w:rPr>
          <w:rFonts w:ascii="ARIAL" w:hAnsi="ARIAL"/>
          <w:sz w:val="22"/>
        </w:rPr>
        <w:t>” columns of the “</w:t>
      </w:r>
      <w:r>
        <w:rPr>
          <w:rFonts w:ascii="ARIAL" w:hAnsi="ARIAL"/>
          <w:i/>
          <w:sz w:val="22"/>
        </w:rPr>
        <w:t>2025 Grants of Plan-Based Awards</w:t>
      </w:r>
      <w:r>
        <w:rPr>
          <w:rFonts w:ascii="ARIAL" w:hAnsi="ARIAL"/>
          <w:sz w:val="22"/>
        </w:rPr>
        <w:t xml:space="preserve">” table. </w:t>
      </w:r>
    </w:p>
    <w:p>
      <w:pPr>
        <w:pStyle w:val="TextBody"/>
        <w:bidi w:val="0"/>
        <w:spacing w:before="240" w:after="0"/>
        <w:jc w:val="left"/>
        <w:rPr>
          <w:rFonts w:ascii="ARIAL" w:hAnsi="ARIAL"/>
          <w:i/>
          <w:sz w:val="22"/>
          <w:u w:val="single"/>
        </w:rPr>
      </w:pPr>
      <w:r>
        <w:rPr>
          <w:rFonts w:ascii="ARIAL" w:hAnsi="ARIAL"/>
          <w:i/>
          <w:sz w:val="22"/>
          <w:u w:val="single"/>
        </w:rPr>
        <w:t xml:space="preserve">Long-Term Incentive Compensation </w:t>
      </w:r>
    </w:p>
    <w:p>
      <w:pPr>
        <w:pStyle w:val="TextBody"/>
        <w:bidi w:val="0"/>
        <w:spacing w:before="240" w:after="0"/>
        <w:jc w:val="both"/>
        <w:rPr>
          <w:rFonts w:ascii="ARIAL" w:hAnsi="ARIAL"/>
          <w:sz w:val="22"/>
        </w:rPr>
      </w:pPr>
      <w:r>
        <w:rPr>
          <w:rFonts w:ascii="ARIAL" w:hAnsi="ARIAL"/>
          <w:sz w:val="22"/>
        </w:rPr>
        <w:t>Until May 2022, long-term incentive awards were granted pursuant to the Newell Rubbermaid Inc. 2013 Incentive Plan (as amended, the “</w:t>
      </w:r>
      <w:r>
        <w:rPr>
          <w:rFonts w:ascii="ARIAL" w:hAnsi="ARIAL"/>
          <w:b/>
          <w:sz w:val="22"/>
        </w:rPr>
        <w:t>2013 Incentive Plan</w:t>
      </w:r>
      <w:r>
        <w:rPr>
          <w:rFonts w:ascii="ARIAL" w:hAnsi="ARIAL"/>
          <w:sz w:val="22"/>
        </w:rPr>
        <w:t>”). The Company began granting long term incentive awards under the Newell Brands Inc. 2022 Incentive Plan adopted by stockholders on May 5, 2022 (as amended, the “</w:t>
      </w:r>
      <w:r>
        <w:rPr>
          <w:rFonts w:ascii="ARIAL" w:hAnsi="ARIAL"/>
          <w:b/>
          <w:sz w:val="22"/>
        </w:rPr>
        <w:t>2022 Incentive Plan</w:t>
      </w:r>
      <w:r>
        <w:rPr>
          <w:rFonts w:ascii="ARIAL" w:hAnsi="ARIAL"/>
          <w:sz w:val="22"/>
        </w:rPr>
        <w:t>”). Long-term incentive awards are designed to motivate executives to increase stockholder value over the long term and align the interests of executives with those of stockholders. Under the annual LTIP, the Committee sets a target award value for restricted stock units (“</w:t>
      </w:r>
      <w:r>
        <w:rPr>
          <w:rFonts w:ascii="ARIAL" w:hAnsi="ARIAL"/>
          <w:b/>
          <w:sz w:val="22"/>
        </w:rPr>
        <w:t>RSUs</w:t>
      </w:r>
      <w:r>
        <w:rPr>
          <w:rFonts w:ascii="ARIAL" w:hAnsi="ARIAL"/>
          <w:sz w:val="22"/>
        </w:rPr>
        <w:t xml:space="preserve">”) and, in certain years, stock options, as applicable, to be granted to each executive officer based on the breadth of the executive’s responsibility, strategic importance of the position, competitive data and internal pay equity. </w:t>
      </w:r>
    </w:p>
    <w:p>
      <w:pPr>
        <w:pStyle w:val="TextBody"/>
        <w:bidi w:val="0"/>
        <w:spacing w:before="240" w:after="0"/>
        <w:jc w:val="both"/>
        <w:rPr>
          <w:rFonts w:ascii="ARIAL" w:hAnsi="ARIAL"/>
          <w:sz w:val="22"/>
        </w:rPr>
      </w:pPr>
      <w:r>
        <w:rPr>
          <w:rFonts w:ascii="ARIAL" w:hAnsi="ARIAL"/>
          <w:sz w:val="22"/>
        </w:rPr>
        <w:t xml:space="preserve">When setting the CEO’s equity compensation, the Committee determines the CEO’s LTIP grant value based upon its evaluation of the CEO’s performance, consultations with a compensation consultant, and other relevant factors. Similarly, the CEO’s recommendation to the Committee for the other named executive officers may include an adjustment to the target LTIP opportunity based upon the CEO’s evaluation of the named executive officer’s performance or other factors deemed relevant by the Committee. The independent members of the Board, on recommendation of the Committee, increased Mr. Peterson’s target LTIP value from $7,500,000 in 2024 to $9,000,000 in 2025, to align Mr. Peterson’s compensation more closely to market data, as well as to reward Mr. Peterson for strong performance in 2024. The Committee also increased target LTIP award value in 2025 for each of Messrs. Erceg and Turner and Mses. Platt and Malkoski by $318,750, $137,500, $143,500 and $50,000, respectively, compared to 2024, in each case based on the Committee’s consideration of market data and evaluation of each individual’s performance in 2024.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u w:val="single"/>
        </w:rPr>
      </w:pPr>
      <w:r>
        <w:rPr>
          <w:rFonts w:ascii="ARIAL" w:hAnsi="ARIAL"/>
          <w:i/>
          <w:sz w:val="22"/>
          <w:u w:val="single"/>
        </w:rPr>
        <w:t xml:space="preserve">2025 LTIP Awards </w:t>
      </w:r>
    </w:p>
    <w:p>
      <w:pPr>
        <w:pStyle w:val="TextBody"/>
        <w:bidi w:val="0"/>
        <w:spacing w:before="240" w:after="0"/>
        <w:jc w:val="both"/>
        <w:rPr>
          <w:rFonts w:ascii="ARIAL" w:hAnsi="ARIAL"/>
          <w:sz w:val="22"/>
        </w:rPr>
      </w:pPr>
      <w:r>
        <w:rPr>
          <w:rFonts w:ascii="ARIAL" w:hAnsi="ARIAL"/>
          <w:sz w:val="22"/>
        </w:rPr>
        <w:t>The annual LTIP target values, PRSU grants and time-based RSU (“</w:t>
      </w:r>
      <w:r>
        <w:rPr>
          <w:rFonts w:ascii="ARIAL" w:hAnsi="ARIAL"/>
          <w:b/>
          <w:sz w:val="22"/>
        </w:rPr>
        <w:t>TRSU</w:t>
      </w:r>
      <w:r>
        <w:rPr>
          <w:rFonts w:ascii="ARIAL" w:hAnsi="ARIAL"/>
          <w:sz w:val="22"/>
        </w:rPr>
        <w:t xml:space="preserve">”) grants for each of the named executive officers in 2025 were as follows: </w:t>
      </w:r>
    </w:p>
    <w:p>
      <w:pPr>
        <w:pStyle w:val="TextBody"/>
        <w:bidi w:val="0"/>
        <w:spacing w:before="0" w:after="0"/>
        <w:jc w:val="left"/>
        <w:rPr/>
      </w:pPr>
      <w:r>
        <w:rPr/>
        <w:t> </w:t>
      </w:r>
    </w:p>
    <w:tbl>
      <w:tblPr>
        <w:tblW w:w="8045" w:type="dxa"/>
        <w:jc w:val="left"/>
        <w:tblInd w:w="0" w:type="dxa"/>
        <w:tblLayout w:type="fixed"/>
        <w:tblCellMar>
          <w:top w:w="0" w:type="dxa"/>
          <w:left w:w="0" w:type="dxa"/>
          <w:bottom w:w="0" w:type="dxa"/>
          <w:right w:w="0" w:type="dxa"/>
        </w:tblCellMar>
      </w:tblPr>
      <w:tblGrid>
        <w:gridCol w:w="2360"/>
        <w:gridCol w:w="120"/>
        <w:gridCol w:w="121"/>
        <w:gridCol w:w="2224"/>
        <w:gridCol w:w="60"/>
        <w:gridCol w:w="120"/>
        <w:gridCol w:w="96"/>
        <w:gridCol w:w="1289"/>
        <w:gridCol w:w="60"/>
        <w:gridCol w:w="120"/>
        <w:gridCol w:w="97"/>
        <w:gridCol w:w="1303"/>
        <w:gridCol w:w="75"/>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000000"/>
            </w:tcBorders>
            <w:tcMar>
              <w:bottom w:w="40" w:type="dxa"/>
            </w:tcMar>
            <w:vAlign w:val="center"/>
          </w:tcPr>
          <w:p>
            <w:pPr>
              <w:pStyle w:val="TableContents"/>
              <w:bidi w:val="0"/>
              <w:spacing w:before="0" w:after="283"/>
              <w:jc w:val="left"/>
              <w:rPr/>
            </w:pPr>
            <w:r>
              <w:rPr/>
              <w:t> </w:t>
            </w:r>
            <w:r>
              <w:rPr>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4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LTIP Award Value At</w:t>
              <w:br/>
              <w:t>Target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LTIP PRSUs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LTIP TRSUs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60" w:type="dxa"/>
            <w:tcBorders>
              <w:bottom w:val="single" w:sz="6" w:space="0" w:color="000000"/>
            </w:tcBorders>
            <w:tcMar>
              <w:bottom w:w="28" w:type="dxa"/>
            </w:tcMar>
            <w:vAlign w:val="center"/>
          </w:tcPr>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 w:type="dxa"/>
            <w:tcBorders>
              <w:bottom w:val="single" w:sz="6" w:space="0" w:color="000000"/>
            </w:tcBorders>
            <w:tcMar>
              <w:bottom w:w="28" w:type="dxa"/>
            </w:tcMar>
            <w:vAlign w:val="center"/>
          </w:tcPr>
          <w:p>
            <w:pPr>
              <w:pStyle w:val="TableContents"/>
              <w:bidi w:val="0"/>
              <w:spacing w:before="0" w:after="283"/>
              <w:jc w:val="left"/>
              <w:rPr/>
            </w:pPr>
            <w:r>
              <w:rPr/>
              <w:t> </w:t>
            </w:r>
          </w:p>
        </w:tc>
        <w:tc>
          <w:tcPr>
            <w:tcW w:w="2224"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6" w:type="dxa"/>
            <w:tcBorders>
              <w:bottom w:val="single" w:sz="6" w:space="0" w:color="000000"/>
            </w:tcBorders>
            <w:tcMar>
              <w:bottom w:w="28" w:type="dxa"/>
            </w:tcMar>
            <w:vAlign w:val="center"/>
          </w:tcPr>
          <w:p>
            <w:pPr>
              <w:pStyle w:val="TableContents"/>
              <w:bidi w:val="0"/>
              <w:spacing w:before="0" w:after="283"/>
              <w:jc w:val="left"/>
              <w:rPr/>
            </w:pPr>
            <w:r>
              <w:rPr/>
              <w:t> </w:t>
            </w:r>
          </w:p>
        </w:tc>
        <w:tc>
          <w:tcPr>
            <w:tcW w:w="1289"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303"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60" w:type="dxa"/>
            <w:tcBorders/>
            <w:shd w:fill="D5EBF6" w:val="clear"/>
            <w:vAlign w:val="center"/>
          </w:tcPr>
          <w:p>
            <w:pPr>
              <w:pStyle w:val="TableContents"/>
              <w:bidi w:val="0"/>
              <w:spacing w:before="0" w:after="283"/>
              <w:jc w:val="left"/>
              <w:rPr>
                <w:sz w:val="4"/>
                <w:szCs w:val="4"/>
              </w:rPr>
            </w:pPr>
            <w:r>
              <w:rPr>
                <w:sz w:val="4"/>
                <w:szCs w:val="4"/>
              </w:rPr>
            </w:r>
          </w:p>
        </w:tc>
        <w:tc>
          <w:tcPr>
            <w:tcW w:w="2525" w:type="dxa"/>
            <w:gridSpan w:val="4"/>
            <w:tcBorders/>
            <w:shd w:fill="D5EBF6" w:val="clear"/>
            <w:vAlign w:val="center"/>
          </w:tcPr>
          <w:p>
            <w:pPr>
              <w:pStyle w:val="TableContents"/>
              <w:bidi w:val="0"/>
              <w:spacing w:before="0" w:after="283"/>
              <w:jc w:val="left"/>
              <w:rPr>
                <w:sz w:val="4"/>
                <w:szCs w:val="4"/>
              </w:rPr>
            </w:pPr>
            <w:r>
              <w:rPr>
                <w:sz w:val="4"/>
                <w:szCs w:val="4"/>
              </w:rPr>
            </w:r>
          </w:p>
        </w:tc>
        <w:tc>
          <w:tcPr>
            <w:tcW w:w="1565" w:type="dxa"/>
            <w:gridSpan w:val="4"/>
            <w:tcBorders/>
            <w:shd w:fill="D5EBF6" w:val="clear"/>
            <w:vAlign w:val="center"/>
          </w:tcPr>
          <w:p>
            <w:pPr>
              <w:pStyle w:val="TableContents"/>
              <w:bidi w:val="0"/>
              <w:spacing w:before="0" w:after="283"/>
              <w:jc w:val="left"/>
              <w:rPr>
                <w:sz w:val="4"/>
                <w:szCs w:val="4"/>
              </w:rPr>
            </w:pPr>
            <w:r>
              <w:rPr>
                <w:sz w:val="4"/>
                <w:szCs w:val="4"/>
              </w:rPr>
            </w:r>
          </w:p>
        </w:tc>
        <w:tc>
          <w:tcPr>
            <w:tcW w:w="159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360" w:type="dxa"/>
            <w:tcBorders/>
            <w:shd w:fill="D5EBF6" w:val="clear"/>
            <w:vAlign w:val="center"/>
          </w:tcPr>
          <w:p>
            <w:pPr>
              <w:pStyle w:val="TableContents"/>
              <w:bidi w:val="0"/>
              <w:spacing w:before="0" w:after="0"/>
              <w:jc w:val="left"/>
              <w:rPr/>
            </w:pPr>
            <w:r>
              <w:rPr/>
              <w:t> </w:t>
            </w:r>
            <w:r>
              <w:rPr>
                <w:rFonts w:ascii="ARIAL" w:hAnsi="ARIAL"/>
                <w:sz w:val="20"/>
              </w:rPr>
              <w:t>Christopher H. Peterson</w:t>
            </w:r>
          </w:p>
        </w:tc>
        <w:tc>
          <w:tcPr>
            <w:tcW w:w="120" w:type="dxa"/>
            <w:tcBorders/>
            <w:shd w:fill="D5EBF6" w:val="clear"/>
            <w:vAlign w:val="center"/>
          </w:tcPr>
          <w:p>
            <w:pPr>
              <w:pStyle w:val="TableContents"/>
              <w:bidi w:val="0"/>
              <w:spacing w:before="0" w:after="283"/>
              <w:jc w:val="left"/>
              <w:rPr/>
            </w:pPr>
            <w:r>
              <w:rPr/>
              <w:t>  </w:t>
            </w:r>
          </w:p>
        </w:tc>
        <w:tc>
          <w:tcPr>
            <w:tcW w:w="121" w:type="dxa"/>
            <w:tcBorders/>
            <w:shd w:fill="D5EBF6" w:val="clear"/>
            <w:vAlign w:val="center"/>
          </w:tcPr>
          <w:p>
            <w:pPr>
              <w:pStyle w:val="TableContents"/>
              <w:bidi w:val="0"/>
              <w:spacing w:before="0" w:after="283"/>
              <w:jc w:val="left"/>
              <w:rPr/>
            </w:pPr>
            <w:r>
              <w:rPr/>
              <w:t> </w:t>
            </w:r>
          </w:p>
        </w:tc>
        <w:tc>
          <w:tcPr>
            <w:tcW w:w="2224" w:type="dxa"/>
            <w:tcBorders/>
            <w:shd w:fill="D5EBF6" w:val="clear"/>
            <w:vAlign w:val="center"/>
          </w:tcPr>
          <w:p>
            <w:pPr>
              <w:pStyle w:val="TableContents"/>
              <w:bidi w:val="0"/>
              <w:spacing w:before="0" w:after="283"/>
              <w:jc w:val="center"/>
              <w:rPr/>
            </w:pPr>
            <w:r>
              <w:rPr/>
              <w:t>$9,000,000</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96" w:type="dxa"/>
            <w:tcBorders/>
            <w:shd w:fill="D5EBF6" w:val="clear"/>
            <w:vAlign w:val="center"/>
          </w:tcPr>
          <w:p>
            <w:pPr>
              <w:pStyle w:val="TableContents"/>
              <w:bidi w:val="0"/>
              <w:spacing w:before="0" w:after="283"/>
              <w:jc w:val="left"/>
              <w:rPr/>
            </w:pPr>
            <w:r>
              <w:rPr/>
              <w:t> </w:t>
            </w:r>
          </w:p>
        </w:tc>
        <w:tc>
          <w:tcPr>
            <w:tcW w:w="1289" w:type="dxa"/>
            <w:tcBorders/>
            <w:shd w:fill="D5EBF6" w:val="clear"/>
            <w:vAlign w:val="center"/>
          </w:tcPr>
          <w:p>
            <w:pPr>
              <w:pStyle w:val="TableContents"/>
              <w:bidi w:val="0"/>
              <w:spacing w:before="0" w:after="283"/>
              <w:jc w:val="center"/>
              <w:rPr/>
            </w:pPr>
            <w:r>
              <w:rPr/>
              <w:t>637,845</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97" w:type="dxa"/>
            <w:tcBorders/>
            <w:shd w:fill="D5EBF6" w:val="clear"/>
            <w:vAlign w:val="center"/>
          </w:tcPr>
          <w:p>
            <w:pPr>
              <w:pStyle w:val="TableContents"/>
              <w:bidi w:val="0"/>
              <w:spacing w:before="0" w:after="283"/>
              <w:jc w:val="left"/>
              <w:rPr/>
            </w:pPr>
            <w:r>
              <w:rPr/>
              <w:t> </w:t>
            </w:r>
          </w:p>
        </w:tc>
        <w:tc>
          <w:tcPr>
            <w:tcW w:w="1303" w:type="dxa"/>
            <w:tcBorders/>
            <w:shd w:fill="D5EBF6" w:val="clear"/>
            <w:vAlign w:val="center"/>
          </w:tcPr>
          <w:p>
            <w:pPr>
              <w:pStyle w:val="TableContents"/>
              <w:bidi w:val="0"/>
              <w:spacing w:before="0" w:after="283"/>
              <w:jc w:val="center"/>
              <w:rPr/>
            </w:pPr>
            <w:r>
              <w:rPr/>
              <w:t>637,845</w:t>
            </w:r>
          </w:p>
        </w:tc>
        <w:tc>
          <w:tcPr>
            <w:tcW w:w="75" w:type="dxa"/>
            <w:tcBorders/>
            <w:shd w:fill="D5EBF6"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0"/>
              <w:jc w:val="left"/>
              <w:rPr/>
            </w:pPr>
            <w:r>
              <w:rPr/>
              <w:t> </w:t>
            </w:r>
            <w:r>
              <w:rPr>
                <w:rFonts w:ascii="ARIAL" w:hAnsi="ARIAL"/>
                <w:sz w:val="20"/>
              </w:rPr>
              <w:t>Mark J. Erceg</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24" w:type="dxa"/>
            <w:tcBorders/>
            <w:vAlign w:val="center"/>
          </w:tcPr>
          <w:p>
            <w:pPr>
              <w:pStyle w:val="TableContents"/>
              <w:bidi w:val="0"/>
              <w:spacing w:before="0" w:after="283"/>
              <w:jc w:val="center"/>
              <w:rPr/>
            </w:pPr>
            <w:r>
              <w:rPr/>
              <w:t>$3,918,750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center"/>
              <w:rPr/>
            </w:pPr>
            <w:r>
              <w:rPr/>
              <w:t>277,728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center"/>
              <w:rPr/>
            </w:pPr>
            <w:r>
              <w:rPr/>
              <w:t>277,728</w:t>
            </w:r>
          </w:p>
        </w:tc>
        <w:tc>
          <w:tcPr>
            <w:tcW w:w="75" w:type="dxa"/>
            <w:tcBorders/>
            <w:vAlign w:val="center"/>
          </w:tcPr>
          <w:p>
            <w:pPr>
              <w:pStyle w:val="TableContents"/>
              <w:bidi w:val="0"/>
              <w:spacing w:before="0" w:after="283"/>
              <w:jc w:val="left"/>
              <w:rPr/>
            </w:pPr>
            <w:r>
              <w:rPr/>
              <w:t> </w:t>
            </w:r>
          </w:p>
        </w:tc>
      </w:tr>
      <w:tr>
        <w:trPr/>
        <w:tc>
          <w:tcPr>
            <w:tcW w:w="2360" w:type="dxa"/>
            <w:tcBorders/>
            <w:shd w:fill="D5EBF6" w:val="clear"/>
            <w:vAlign w:val="center"/>
          </w:tcPr>
          <w:p>
            <w:pPr>
              <w:pStyle w:val="TableContents"/>
              <w:bidi w:val="0"/>
              <w:spacing w:before="0" w:after="283"/>
              <w:jc w:val="left"/>
              <w:rPr>
                <w:sz w:val="4"/>
                <w:szCs w:val="4"/>
              </w:rPr>
            </w:pPr>
            <w:r>
              <w:rPr>
                <w:sz w:val="4"/>
                <w:szCs w:val="4"/>
              </w:rPr>
            </w:r>
          </w:p>
        </w:tc>
        <w:tc>
          <w:tcPr>
            <w:tcW w:w="2525" w:type="dxa"/>
            <w:gridSpan w:val="4"/>
            <w:tcBorders/>
            <w:shd w:fill="D5EBF6" w:val="clear"/>
            <w:vAlign w:val="center"/>
          </w:tcPr>
          <w:p>
            <w:pPr>
              <w:pStyle w:val="TableContents"/>
              <w:bidi w:val="0"/>
              <w:spacing w:before="0" w:after="283"/>
              <w:jc w:val="left"/>
              <w:rPr>
                <w:sz w:val="4"/>
                <w:szCs w:val="4"/>
              </w:rPr>
            </w:pPr>
            <w:r>
              <w:rPr>
                <w:sz w:val="4"/>
                <w:szCs w:val="4"/>
              </w:rPr>
            </w:r>
          </w:p>
        </w:tc>
        <w:tc>
          <w:tcPr>
            <w:tcW w:w="1565" w:type="dxa"/>
            <w:gridSpan w:val="4"/>
            <w:tcBorders/>
            <w:shd w:fill="D5EBF6" w:val="clear"/>
            <w:vAlign w:val="center"/>
          </w:tcPr>
          <w:p>
            <w:pPr>
              <w:pStyle w:val="TableContents"/>
              <w:bidi w:val="0"/>
              <w:spacing w:before="0" w:after="283"/>
              <w:jc w:val="left"/>
              <w:rPr>
                <w:sz w:val="4"/>
                <w:szCs w:val="4"/>
              </w:rPr>
            </w:pPr>
            <w:r>
              <w:rPr>
                <w:sz w:val="4"/>
                <w:szCs w:val="4"/>
              </w:rPr>
            </w:r>
          </w:p>
        </w:tc>
        <w:tc>
          <w:tcPr>
            <w:tcW w:w="159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360" w:type="dxa"/>
            <w:tcBorders/>
            <w:shd w:fill="D5EBF6" w:val="clear"/>
            <w:vAlign w:val="center"/>
          </w:tcPr>
          <w:p>
            <w:pPr>
              <w:pStyle w:val="TableContents"/>
              <w:bidi w:val="0"/>
              <w:spacing w:before="0" w:after="0"/>
              <w:jc w:val="left"/>
              <w:rPr/>
            </w:pPr>
            <w:r>
              <w:rPr/>
              <w:t> </w:t>
            </w:r>
            <w:r>
              <w:rPr>
                <w:rFonts w:ascii="ARIAL" w:hAnsi="ARIAL"/>
                <w:sz w:val="20"/>
              </w:rPr>
              <w:t>Bradford R. Turner</w:t>
            </w:r>
          </w:p>
        </w:tc>
        <w:tc>
          <w:tcPr>
            <w:tcW w:w="120" w:type="dxa"/>
            <w:tcBorders/>
            <w:shd w:fill="D5EBF6" w:val="clear"/>
            <w:vAlign w:val="center"/>
          </w:tcPr>
          <w:p>
            <w:pPr>
              <w:pStyle w:val="TableContents"/>
              <w:bidi w:val="0"/>
              <w:spacing w:before="0" w:after="283"/>
              <w:jc w:val="left"/>
              <w:rPr/>
            </w:pPr>
            <w:r>
              <w:rPr/>
              <w:t>  </w:t>
            </w:r>
          </w:p>
        </w:tc>
        <w:tc>
          <w:tcPr>
            <w:tcW w:w="121" w:type="dxa"/>
            <w:tcBorders/>
            <w:shd w:fill="D5EBF6" w:val="clear"/>
            <w:vAlign w:val="center"/>
          </w:tcPr>
          <w:p>
            <w:pPr>
              <w:pStyle w:val="TableContents"/>
              <w:bidi w:val="0"/>
              <w:spacing w:before="0" w:after="283"/>
              <w:jc w:val="left"/>
              <w:rPr/>
            </w:pPr>
            <w:r>
              <w:rPr/>
              <w:t> </w:t>
            </w:r>
          </w:p>
        </w:tc>
        <w:tc>
          <w:tcPr>
            <w:tcW w:w="2224" w:type="dxa"/>
            <w:tcBorders/>
            <w:shd w:fill="D5EBF6" w:val="clear"/>
            <w:vAlign w:val="center"/>
          </w:tcPr>
          <w:p>
            <w:pPr>
              <w:pStyle w:val="TableContents"/>
              <w:bidi w:val="0"/>
              <w:spacing w:before="0" w:after="283"/>
              <w:jc w:val="center"/>
              <w:rPr/>
            </w:pPr>
            <w:r>
              <w:rPr/>
              <w:t>$1,950,000</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96" w:type="dxa"/>
            <w:tcBorders/>
            <w:shd w:fill="D5EBF6" w:val="clear"/>
            <w:vAlign w:val="center"/>
          </w:tcPr>
          <w:p>
            <w:pPr>
              <w:pStyle w:val="TableContents"/>
              <w:bidi w:val="0"/>
              <w:spacing w:before="0" w:after="283"/>
              <w:jc w:val="left"/>
              <w:rPr/>
            </w:pPr>
            <w:r>
              <w:rPr/>
              <w:t> </w:t>
            </w:r>
          </w:p>
        </w:tc>
        <w:tc>
          <w:tcPr>
            <w:tcW w:w="1289" w:type="dxa"/>
            <w:tcBorders/>
            <w:shd w:fill="D5EBF6" w:val="clear"/>
            <w:vAlign w:val="center"/>
          </w:tcPr>
          <w:p>
            <w:pPr>
              <w:pStyle w:val="TableContents"/>
              <w:bidi w:val="0"/>
              <w:spacing w:before="0" w:after="283"/>
              <w:jc w:val="center"/>
              <w:rPr/>
            </w:pPr>
            <w:r>
              <w:rPr/>
              <w:t>138,199</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97" w:type="dxa"/>
            <w:tcBorders/>
            <w:shd w:fill="D5EBF6" w:val="clear"/>
            <w:vAlign w:val="center"/>
          </w:tcPr>
          <w:p>
            <w:pPr>
              <w:pStyle w:val="TableContents"/>
              <w:bidi w:val="0"/>
              <w:spacing w:before="0" w:after="283"/>
              <w:jc w:val="left"/>
              <w:rPr/>
            </w:pPr>
            <w:r>
              <w:rPr/>
              <w:t> </w:t>
            </w:r>
          </w:p>
        </w:tc>
        <w:tc>
          <w:tcPr>
            <w:tcW w:w="1303" w:type="dxa"/>
            <w:tcBorders/>
            <w:shd w:fill="D5EBF6" w:val="clear"/>
            <w:vAlign w:val="center"/>
          </w:tcPr>
          <w:p>
            <w:pPr>
              <w:pStyle w:val="TableContents"/>
              <w:bidi w:val="0"/>
              <w:spacing w:before="0" w:after="283"/>
              <w:jc w:val="center"/>
              <w:rPr/>
            </w:pPr>
            <w:r>
              <w:rPr/>
              <w:t>138,199</w:t>
            </w:r>
          </w:p>
        </w:tc>
        <w:tc>
          <w:tcPr>
            <w:tcW w:w="75" w:type="dxa"/>
            <w:tcBorders/>
            <w:shd w:fill="D5EBF6"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0"/>
              <w:jc w:val="left"/>
              <w:rPr/>
            </w:pPr>
            <w:r>
              <w:rPr/>
              <w:t> </w:t>
            </w:r>
            <w:r>
              <w:rPr>
                <w:rFonts w:ascii="ARIAL" w:hAnsi="ARIAL"/>
                <w:sz w:val="20"/>
              </w:rPr>
              <w:t>Tracy L. Platt</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24" w:type="dxa"/>
            <w:tcBorders/>
            <w:vAlign w:val="center"/>
          </w:tcPr>
          <w:p>
            <w:pPr>
              <w:pStyle w:val="TableContents"/>
              <w:bidi w:val="0"/>
              <w:spacing w:before="0" w:after="283"/>
              <w:jc w:val="center"/>
              <w:rPr/>
            </w:pPr>
            <w:r>
              <w:rPr/>
              <w:t>$1,788,500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center"/>
              <w:rPr/>
            </w:pPr>
            <w:r>
              <w:rPr/>
              <w:t>126,754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center"/>
              <w:rPr/>
            </w:pPr>
            <w:r>
              <w:rPr/>
              <w:t>126,754</w:t>
            </w:r>
          </w:p>
        </w:tc>
        <w:tc>
          <w:tcPr>
            <w:tcW w:w="75" w:type="dxa"/>
            <w:tcBorders/>
            <w:vAlign w:val="center"/>
          </w:tcPr>
          <w:p>
            <w:pPr>
              <w:pStyle w:val="TableContents"/>
              <w:bidi w:val="0"/>
              <w:spacing w:before="0" w:after="283"/>
              <w:jc w:val="left"/>
              <w:rPr/>
            </w:pPr>
            <w:r>
              <w:rPr/>
              <w:t> </w:t>
            </w:r>
          </w:p>
        </w:tc>
      </w:tr>
      <w:tr>
        <w:trPr/>
        <w:tc>
          <w:tcPr>
            <w:tcW w:w="2360" w:type="dxa"/>
            <w:tcBorders/>
            <w:shd w:fill="D5EBF6" w:val="clear"/>
            <w:vAlign w:val="center"/>
          </w:tcPr>
          <w:p>
            <w:pPr>
              <w:pStyle w:val="TableContents"/>
              <w:bidi w:val="0"/>
              <w:spacing w:before="0" w:after="283"/>
              <w:jc w:val="left"/>
              <w:rPr>
                <w:sz w:val="4"/>
                <w:szCs w:val="4"/>
              </w:rPr>
            </w:pPr>
            <w:r>
              <w:rPr>
                <w:sz w:val="4"/>
                <w:szCs w:val="4"/>
              </w:rPr>
            </w:r>
          </w:p>
        </w:tc>
        <w:tc>
          <w:tcPr>
            <w:tcW w:w="2525" w:type="dxa"/>
            <w:gridSpan w:val="4"/>
            <w:tcBorders/>
            <w:shd w:fill="D5EBF6" w:val="clear"/>
            <w:vAlign w:val="center"/>
          </w:tcPr>
          <w:p>
            <w:pPr>
              <w:pStyle w:val="TableContents"/>
              <w:bidi w:val="0"/>
              <w:spacing w:before="0" w:after="283"/>
              <w:jc w:val="left"/>
              <w:rPr>
                <w:sz w:val="4"/>
                <w:szCs w:val="4"/>
              </w:rPr>
            </w:pPr>
            <w:r>
              <w:rPr>
                <w:sz w:val="4"/>
                <w:szCs w:val="4"/>
              </w:rPr>
            </w:r>
          </w:p>
        </w:tc>
        <w:tc>
          <w:tcPr>
            <w:tcW w:w="1565" w:type="dxa"/>
            <w:gridSpan w:val="4"/>
            <w:tcBorders/>
            <w:shd w:fill="D5EBF6" w:val="clear"/>
            <w:vAlign w:val="center"/>
          </w:tcPr>
          <w:p>
            <w:pPr>
              <w:pStyle w:val="TableContents"/>
              <w:bidi w:val="0"/>
              <w:spacing w:before="0" w:after="283"/>
              <w:jc w:val="left"/>
              <w:rPr>
                <w:sz w:val="4"/>
                <w:szCs w:val="4"/>
              </w:rPr>
            </w:pPr>
            <w:r>
              <w:rPr>
                <w:sz w:val="4"/>
                <w:szCs w:val="4"/>
              </w:rPr>
            </w:r>
          </w:p>
        </w:tc>
        <w:tc>
          <w:tcPr>
            <w:tcW w:w="159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000000"/>
            </w:tcBorders>
            <w:shd w:fill="D5EBF6" w:val="clear"/>
            <w:tcMar>
              <w:bottom w:w="40" w:type="dxa"/>
            </w:tcMar>
            <w:vAlign w:val="center"/>
          </w:tcPr>
          <w:p>
            <w:pPr>
              <w:pStyle w:val="TableContents"/>
              <w:bidi w:val="0"/>
              <w:spacing w:before="0" w:after="0"/>
              <w:jc w:val="left"/>
              <w:rPr/>
            </w:pPr>
            <w:r>
              <w:rPr/>
              <w:t> </w:t>
            </w:r>
            <w:r>
              <w:rPr>
                <w:rFonts w:ascii="ARIAL" w:hAnsi="ARIAL"/>
                <w:sz w:val="20"/>
              </w:rPr>
              <w:t>Kristine K. Malkoski</w:t>
            </w:r>
          </w:p>
        </w:tc>
        <w:tc>
          <w:tcPr>
            <w:tcW w:w="12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121"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c>
          <w:tcPr>
            <w:tcW w:w="2224" w:type="dxa"/>
            <w:tcBorders>
              <w:bottom w:val="single" w:sz="6" w:space="0" w:color="000000"/>
            </w:tcBorders>
            <w:shd w:fill="D5EBF6" w:val="clear"/>
            <w:tcMar>
              <w:bottom w:w="40" w:type="dxa"/>
            </w:tcMar>
            <w:vAlign w:val="center"/>
          </w:tcPr>
          <w:p>
            <w:pPr>
              <w:pStyle w:val="TableContents"/>
              <w:bidi w:val="0"/>
              <w:spacing w:before="0" w:after="283"/>
              <w:jc w:val="center"/>
              <w:rPr/>
            </w:pPr>
            <w:r>
              <w:rPr/>
              <w:t>$1,450,000</w:t>
            </w:r>
          </w:p>
        </w:tc>
        <w:tc>
          <w:tcPr>
            <w:tcW w:w="60"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96"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c>
          <w:tcPr>
            <w:tcW w:w="1289" w:type="dxa"/>
            <w:tcBorders>
              <w:bottom w:val="single" w:sz="6" w:space="0" w:color="000000"/>
            </w:tcBorders>
            <w:shd w:fill="D5EBF6" w:val="clear"/>
            <w:tcMar>
              <w:bottom w:w="40" w:type="dxa"/>
            </w:tcMar>
            <w:vAlign w:val="center"/>
          </w:tcPr>
          <w:p>
            <w:pPr>
              <w:pStyle w:val="TableContents"/>
              <w:bidi w:val="0"/>
              <w:spacing w:before="0" w:after="283"/>
              <w:jc w:val="center"/>
              <w:rPr/>
            </w:pPr>
            <w:r>
              <w:rPr/>
              <w:t>102,763</w:t>
            </w:r>
          </w:p>
        </w:tc>
        <w:tc>
          <w:tcPr>
            <w:tcW w:w="60"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c>
          <w:tcPr>
            <w:tcW w:w="1303" w:type="dxa"/>
            <w:tcBorders>
              <w:bottom w:val="single" w:sz="6" w:space="0" w:color="000000"/>
            </w:tcBorders>
            <w:shd w:fill="D5EBF6" w:val="clear"/>
            <w:tcMar>
              <w:bottom w:w="40" w:type="dxa"/>
            </w:tcMar>
            <w:vAlign w:val="center"/>
          </w:tcPr>
          <w:p>
            <w:pPr>
              <w:pStyle w:val="TableContents"/>
              <w:bidi w:val="0"/>
              <w:spacing w:before="0" w:after="283"/>
              <w:jc w:val="center"/>
              <w:rPr/>
            </w:pPr>
            <w:r>
              <w:rPr/>
              <w:t>102,763</w:t>
            </w:r>
          </w:p>
        </w:tc>
        <w:tc>
          <w:tcPr>
            <w:tcW w:w="75" w:type="dxa"/>
            <w:tcBorders>
              <w:bottom w:val="single" w:sz="6" w:space="0" w:color="000000"/>
            </w:tcBorders>
            <w:shd w:fill="D5EBF6" w:val="clear"/>
            <w:tcMar>
              <w:bottom w:w="40" w:type="dxa"/>
            </w:tcMar>
            <w:vAlign w:val="center"/>
          </w:tcPr>
          <w:p>
            <w:pPr>
              <w:pStyle w:val="TableContents"/>
              <w:bidi w:val="0"/>
              <w:spacing w:before="0" w:after="283"/>
              <w:jc w:val="left"/>
              <w:rPr/>
            </w:pPr>
            <w:r>
              <w:rPr/>
              <w:t> </w:t>
            </w:r>
          </w:p>
        </w:tc>
      </w:tr>
      <w:tr>
        <w:trPr/>
        <w:tc>
          <w:tcPr>
            <w:tcW w:w="2360" w:type="dxa"/>
            <w:tcBorders>
              <w:bottom w:val="single" w:sz="6" w:space="0" w:color="000000"/>
            </w:tcBorders>
            <w:tcMar>
              <w:bottom w:w="28" w:type="dxa"/>
            </w:tcMar>
            <w:vAlign w:val="center"/>
          </w:tcPr>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 w:type="dxa"/>
            <w:tcBorders>
              <w:bottom w:val="single" w:sz="6" w:space="0" w:color="000000"/>
            </w:tcBorders>
            <w:tcMar>
              <w:bottom w:w="28" w:type="dxa"/>
            </w:tcMar>
            <w:vAlign w:val="center"/>
          </w:tcPr>
          <w:p>
            <w:pPr>
              <w:pStyle w:val="TableContents"/>
              <w:bidi w:val="0"/>
              <w:spacing w:before="0" w:after="283"/>
              <w:jc w:val="left"/>
              <w:rPr/>
            </w:pPr>
            <w:r>
              <w:rPr/>
              <w:t> </w:t>
            </w:r>
          </w:p>
        </w:tc>
        <w:tc>
          <w:tcPr>
            <w:tcW w:w="2224"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6" w:type="dxa"/>
            <w:tcBorders>
              <w:bottom w:val="single" w:sz="6" w:space="0" w:color="000000"/>
            </w:tcBorders>
            <w:tcMar>
              <w:bottom w:w="28" w:type="dxa"/>
            </w:tcMar>
            <w:vAlign w:val="center"/>
          </w:tcPr>
          <w:p>
            <w:pPr>
              <w:pStyle w:val="TableContents"/>
              <w:bidi w:val="0"/>
              <w:spacing w:before="0" w:after="283"/>
              <w:jc w:val="left"/>
              <w:rPr/>
            </w:pPr>
            <w:r>
              <w:rPr/>
              <w:t> </w:t>
            </w:r>
          </w:p>
        </w:tc>
        <w:tc>
          <w:tcPr>
            <w:tcW w:w="1289"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303"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2"/>
        </w:rPr>
      </w:pPr>
      <w:r>
        <w:rPr>
          <w:rFonts w:ascii="ARIAL" w:hAnsi="ARIAL"/>
          <w:sz w:val="22"/>
        </w:rPr>
        <w:t xml:space="preserve">The number of PRSUs and TRSUs granted to each of the applicable named executive officers pursuant to the LTIP in 2025 was derived based on the closing price of the Company’s common stock on February 14, 2025 ($7.06), the last trading day prior to the grant date of February 17, 2025. </w:t>
      </w:r>
    </w:p>
    <w:p>
      <w:pPr>
        <w:pStyle w:val="TextBody"/>
        <w:bidi w:val="0"/>
        <w:spacing w:before="240" w:after="0"/>
        <w:jc w:val="both"/>
        <w:rPr>
          <w:rFonts w:ascii="ARIAL" w:hAnsi="ARIAL"/>
          <w:sz w:val="22"/>
        </w:rPr>
      </w:pPr>
      <w:r>
        <w:rPr>
          <w:rFonts w:ascii="ARIAL" w:hAnsi="ARIAL"/>
          <w:sz w:val="22"/>
        </w:rPr>
        <w:t xml:space="preserve">For each of the named executive officers, consistent with 2024, 50% of the target value of the 2025 annual LTIP grant was provided in PRSUs, and 50% of the target value was provided in TRSUs. The TRSUs granted to the named executive officers under the 2025 LTIP vest ratably in equal installments on each of the first, second and third anniversaries of the grant date, subject to continuous employment with the Company. </w:t>
      </w:r>
    </w:p>
    <w:p>
      <w:pPr>
        <w:pStyle w:val="TextBody"/>
        <w:bidi w:val="0"/>
        <w:spacing w:before="240" w:after="0"/>
        <w:jc w:val="both"/>
        <w:rPr>
          <w:rFonts w:ascii="ARIAL" w:hAnsi="ARIAL"/>
          <w:sz w:val="22"/>
        </w:rPr>
      </w:pPr>
      <w:r>
        <w:rPr>
          <w:rFonts w:ascii="ARIAL" w:hAnsi="ARIAL"/>
          <w:sz w:val="22"/>
        </w:rPr>
        <w:t>The PRSUs granted to the named executive officers under the 2025 LTIP vest on the third anniversary of the date of grant, subject to continuous employment, to the extent the applicable performance criteria are satisfied. The number of shares earned under these PRSUs ranges from 0% to 200% of the target number of shares, depending upon achievement of equally weighted performance goals for annual adjusted EPS performance(1) and free cash flow productivity(2) (referred to herein as the “</w:t>
      </w:r>
      <w:r>
        <w:rPr>
          <w:rFonts w:ascii="ARIAL" w:hAnsi="ARIAL"/>
          <w:b/>
          <w:sz w:val="22"/>
        </w:rPr>
        <w:t>Performance Factor</w:t>
      </w:r>
      <w:r>
        <w:rPr>
          <w:rFonts w:ascii="ARIAL" w:hAnsi="ARIAL"/>
          <w:sz w:val="22"/>
        </w:rPr>
        <w:t xml:space="preserve">”). The selection of these metrics and their corresponding targets for the LTIP reflects the Committee’s long-term emphasis on driving earnings growth and cash flow generation. For each metric, the total Performance Factor earned with respect to the three-year performance period between January 1, 2025 and December 31, 2027 will be the average of annual payout percentages over a three-year performance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both"/>
              <w:rPr>
                <w:rFonts w:ascii="ARIAL" w:hAnsi="ARIAL"/>
                <w:sz w:val="18"/>
              </w:rPr>
            </w:pPr>
            <w:r>
              <w:rPr>
                <w:rFonts w:ascii="ARIAL" w:hAnsi="ARIAL"/>
                <w:sz w:val="18"/>
              </w:rPr>
              <w:t>For purposes of the 2025 LTIP, the annual adjusted EPS performance targets for the first year are expressed in terms of adjusted EPS for the full year. The targets for the second and third years are expressed in terms of annual adjusted EPS growth rates. “Adjusted EPS” is the Company’s reported EPS, as determined in accordance with GAAP, excluding the impact of items which the Company normalizes or adjusts for public reporting (“</w:t>
            </w:r>
            <w:r>
              <w:rPr>
                <w:rFonts w:ascii="ARIAL" w:hAnsi="ARIAL"/>
                <w:b/>
                <w:sz w:val="18"/>
              </w:rPr>
              <w:t>Normalized Adjustments</w:t>
            </w:r>
            <w:r>
              <w:rPr>
                <w:rFonts w:ascii="ARIAL" w:hAnsi="ARIAL"/>
                <w:sz w:val="18"/>
              </w:rPr>
              <w:t xml:space="preserve">”). Adjusted EPS also excludes any transactional and financing costs and incremental interest expense resulting from refinancing a significant portion of the Company’s long-term debt prior to maturity during the performance period. “Annual adjusted EPS growth rate” is the percentage annual increase in adjusted EPS for each applicable fiscal year of the three-year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both"/>
              <w:rPr>
                <w:rFonts w:ascii="ARIAL" w:hAnsi="ARIAL"/>
                <w:sz w:val="18"/>
              </w:rPr>
            </w:pPr>
            <w:r>
              <w:rPr>
                <w:rFonts w:ascii="ARIAL" w:hAnsi="ARIAL"/>
                <w:sz w:val="18"/>
              </w:rPr>
              <w:t xml:space="preserve">For the purposes of the 2025 LTIP, “free cash flow productivity” is defined as free cash flow divided by adjusted net income for the relevant period, expressed as a percentage. “Free cash flow” is the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Company’s reported operating cash flow as determined in accordance with GAAP, less capital expenditures, excluding the impact of cash costs related to the extinguishment of debt; debt and equity related financing costs; cash tax payments associated with the sale of a business unit or line of business and cash expenditures associated with the acquisition, integration or divestiture of business units or lines of business. “Adjusted net income” is the Company’s reported net income, as determined in accordance with GAAP, excluding the impact of Normalized Adjustments, less tax-effected restructuring and restructuring-related cash expenditures. The calculation of free cash flow and adjusted net income excludes the impact of other items significantly affecting the calculation of free cash flow productivity that are not indicative of the Company’s core operating results for the relevant period and affect the comparability of underlying results from period to period, as determined by the Committee. In the event that adjusted net income is less than or equal to $1, it shall be deemed to be $1 for purposes of calculating free cash flow productivity.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both"/>
              <w:rPr>
                <w:rFonts w:ascii="ARIAL" w:hAnsi="ARIAL"/>
                <w:sz w:val="18"/>
              </w:rPr>
            </w:pPr>
            <w:r>
              <w:rPr>
                <w:rFonts w:ascii="ARIAL" w:hAnsi="ARIAL"/>
                <w:sz w:val="18"/>
              </w:rPr>
              <w:t xml:space="preserve">The 2025 LTIP also provides for fair and appropriate adjustments to targets or actual performance calculations, as determined by the Committee, to reflect the impact of acquisitions and divestitures; changes in tax laws or accounting standards enacted during the performance period; significant unbudgeted impacts of tariff changes and translational foreign exchange on adjusted EPS during the first year of the performance period; and force majeure events.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 xml:space="preserve">The targets set by the Committee for the 2025 LTIP PRSUs with respect to free cash flow productivity and annual adjusted EPS performance period are summarized below: </w:t>
      </w:r>
    </w:p>
    <w:p>
      <w:pPr>
        <w:pStyle w:val="TextBody"/>
        <w:bidi w:val="0"/>
        <w:spacing w:before="0" w:after="0"/>
        <w:jc w:val="left"/>
        <w:rPr/>
      </w:pPr>
      <w:r>
        <w:rPr/>
        <w:t> </w:t>
      </w:r>
    </w:p>
    <w:tbl>
      <w:tblPr>
        <w:tblW w:w="7995" w:type="dxa"/>
        <w:jc w:val="left"/>
        <w:tblInd w:w="0" w:type="dxa"/>
        <w:tblLayout w:type="fixed"/>
        <w:tblCellMar>
          <w:top w:w="0" w:type="dxa"/>
          <w:left w:w="0" w:type="dxa"/>
          <w:bottom w:w="0" w:type="dxa"/>
          <w:right w:w="0" w:type="dxa"/>
        </w:tblCellMar>
      </w:tblPr>
      <w:tblGrid>
        <w:gridCol w:w="1850"/>
        <w:gridCol w:w="120"/>
        <w:gridCol w:w="755"/>
        <w:gridCol w:w="240"/>
        <w:gridCol w:w="530"/>
        <w:gridCol w:w="240"/>
        <w:gridCol w:w="1190"/>
        <w:gridCol w:w="240"/>
        <w:gridCol w:w="1070"/>
        <w:gridCol w:w="240"/>
        <w:gridCol w:w="1520"/>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1850" w:type="dxa"/>
            <w:tcBorders>
              <w:bottom w:val="single" w:sz="6" w:space="0" w:color="000000"/>
            </w:tcBorders>
            <w:tcMar>
              <w:bottom w:w="40" w:type="dxa"/>
            </w:tcMar>
            <w:vAlign w:val="center"/>
          </w:tcPr>
          <w:p>
            <w:pPr>
              <w:pStyle w:val="TableContents"/>
              <w:bidi w:val="0"/>
              <w:spacing w:before="0" w:after="283"/>
              <w:jc w:val="left"/>
              <w:rPr/>
            </w:pPr>
            <w:r>
              <w:rPr/>
              <w:t> </w:t>
            </w:r>
            <w:r>
              <w:rPr>
                <w:b/>
              </w:rPr>
              <w:t>Performance</w:t>
            </w:r>
            <w:r>
              <w:rPr/>
              <w:br/>
              <w:t> </w:t>
            </w:r>
            <w:r>
              <w:rPr>
                <w:b/>
              </w:rPr>
              <w:t>Goal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tcBorders>
              <w:bottom w:val="single" w:sz="6" w:space="0" w:color="000000"/>
            </w:tcBorders>
            <w:tcMar>
              <w:bottom w:w="40" w:type="dxa"/>
            </w:tcMar>
            <w:vAlign w:val="center"/>
          </w:tcPr>
          <w:p>
            <w:pPr>
              <w:pStyle w:val="TableContents"/>
              <w:bidi w:val="0"/>
              <w:spacing w:before="0" w:after="283"/>
              <w:jc w:val="center"/>
              <w:rPr>
                <w:b/>
              </w:rPr>
            </w:pPr>
            <w:r>
              <w:rPr>
                <w:b/>
              </w:rPr>
              <w:t>Total</w:t>
              <w:br/>
              <w:t>Weight</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40" w:type="dxa"/>
            </w:tcMar>
            <w:vAlign w:val="center"/>
          </w:tcPr>
          <w:p>
            <w:pPr>
              <w:pStyle w:val="TableContents"/>
              <w:bidi w:val="0"/>
              <w:spacing w:before="0" w:after="283"/>
              <w:jc w:val="center"/>
              <w:rPr>
                <w:b/>
              </w:rPr>
            </w:pPr>
            <w:r>
              <w:rPr>
                <w:b/>
              </w:rPr>
              <w:t>Year</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40" w:type="dxa"/>
            </w:tcMar>
            <w:vAlign w:val="center"/>
          </w:tcPr>
          <w:p>
            <w:pPr>
              <w:pStyle w:val="TableContents"/>
              <w:bidi w:val="0"/>
              <w:spacing w:before="0" w:after="283"/>
              <w:jc w:val="center"/>
              <w:rPr>
                <w:b/>
              </w:rPr>
            </w:pPr>
            <w:r>
              <w:rPr>
                <w:b/>
              </w:rPr>
              <w:t>Minimum</w:t>
              <w:br/>
              <w:t>Threshold</w:t>
              <w:br/>
              <w:t>for Payout</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0" w:type="dxa"/>
            <w:tcBorders>
              <w:bottom w:val="single" w:sz="6" w:space="0" w:color="000000"/>
            </w:tcBorders>
            <w:tcMar>
              <w:bottom w:w="40" w:type="dxa"/>
            </w:tcMar>
            <w:vAlign w:val="center"/>
          </w:tcPr>
          <w:p>
            <w:pPr>
              <w:pStyle w:val="TableContents"/>
              <w:bidi w:val="0"/>
              <w:spacing w:before="0" w:after="283"/>
              <w:jc w:val="center"/>
              <w:rPr>
                <w:b/>
              </w:rPr>
            </w:pPr>
            <w:r>
              <w:rPr>
                <w:b/>
              </w:rPr>
              <w:t>Target for</w:t>
              <w:br/>
              <w:t>Perform-</w:t>
              <w:br/>
              <w:t>ance</w:t>
              <w:br/>
              <w:t>Factor</w:t>
              <w:br/>
              <w:t>at 100%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0" w:type="dxa"/>
            <w:tcBorders>
              <w:bottom w:val="single" w:sz="6" w:space="0" w:color="000000"/>
            </w:tcBorders>
            <w:tcMar>
              <w:bottom w:w="40" w:type="dxa"/>
            </w:tcMar>
            <w:vAlign w:val="center"/>
          </w:tcPr>
          <w:p>
            <w:pPr>
              <w:pStyle w:val="TableContents"/>
              <w:bidi w:val="0"/>
              <w:spacing w:before="0" w:after="283"/>
              <w:jc w:val="center"/>
              <w:rPr>
                <w:b/>
              </w:rPr>
            </w:pPr>
            <w:r>
              <w:rPr>
                <w:b/>
              </w:rPr>
              <w:t>Performance</w:t>
              <w:br/>
              <w:t>for Maximum</w:t>
              <w:br/>
              <w:t>Performance</w:t>
              <w:br/>
              <w:t>Factor (200%)</w:t>
            </w:r>
          </w:p>
        </w:tc>
      </w:tr>
      <w:tr>
        <w:trPr/>
        <w:tc>
          <w:tcPr>
            <w:tcW w:w="185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875" w:type="dxa"/>
            <w:gridSpan w:val="2"/>
            <w:tcBorders/>
            <w:shd w:fill="D5EBF6" w:val="clear"/>
            <w:vAlign w:val="center"/>
          </w:tcPr>
          <w:p>
            <w:pPr>
              <w:pStyle w:val="TableContents"/>
              <w:bidi w:val="0"/>
              <w:spacing w:before="0" w:after="283"/>
              <w:jc w:val="left"/>
              <w:rPr>
                <w:sz w:val="4"/>
                <w:szCs w:val="4"/>
              </w:rPr>
            </w:pPr>
            <w:r>
              <w:rPr>
                <w:sz w:val="4"/>
                <w:szCs w:val="4"/>
              </w:rPr>
            </w:r>
          </w:p>
        </w:tc>
        <w:tc>
          <w:tcPr>
            <w:tcW w:w="770"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2"/>
            <w:tcBorders/>
            <w:shd w:fill="D5EBF6" w:val="clear"/>
            <w:vAlign w:val="center"/>
          </w:tcPr>
          <w:p>
            <w:pPr>
              <w:pStyle w:val="TableContents"/>
              <w:bidi w:val="0"/>
              <w:spacing w:before="0" w:after="283"/>
              <w:jc w:val="left"/>
              <w:rPr>
                <w:sz w:val="4"/>
                <w:szCs w:val="4"/>
              </w:rPr>
            </w:pPr>
            <w:r>
              <w:rPr>
                <w:sz w:val="4"/>
                <w:szCs w:val="4"/>
              </w:rPr>
            </w:r>
          </w:p>
        </w:tc>
        <w:tc>
          <w:tcPr>
            <w:tcW w:w="1310" w:type="dxa"/>
            <w:gridSpan w:val="2"/>
            <w:tcBorders/>
            <w:shd w:fill="D5EBF6" w:val="clear"/>
            <w:vAlign w:val="center"/>
          </w:tcPr>
          <w:p>
            <w:pPr>
              <w:pStyle w:val="TableContents"/>
              <w:bidi w:val="0"/>
              <w:spacing w:before="0" w:after="283"/>
              <w:jc w:val="left"/>
              <w:rPr>
                <w:sz w:val="4"/>
                <w:szCs w:val="4"/>
              </w:rPr>
            </w:pPr>
            <w:r>
              <w:rPr>
                <w:sz w:val="4"/>
                <w:szCs w:val="4"/>
              </w:rPr>
            </w:r>
          </w:p>
        </w:tc>
        <w:tc>
          <w:tcPr>
            <w:tcW w:w="176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1850" w:type="dxa"/>
            <w:vMerge w:val="restart"/>
            <w:tcBorders>
              <w:bottom w:val="single" w:sz="6" w:space="0" w:color="000000"/>
            </w:tcBorders>
            <w:tcMar>
              <w:bottom w:w="80" w:type="dxa"/>
            </w:tcMar>
            <w:vAlign w:val="center"/>
          </w:tcPr>
          <w:p>
            <w:pPr>
              <w:pStyle w:val="TableContents"/>
              <w:bidi w:val="0"/>
              <w:spacing w:before="0" w:after="0"/>
              <w:jc w:val="left"/>
              <w:rPr/>
            </w:pPr>
            <w:r>
              <w:rPr/>
              <w:t> </w:t>
            </w:r>
            <w:r>
              <w:rPr>
                <w:rFonts w:ascii="ARIAL" w:hAnsi="ARIAL"/>
                <w:sz w:val="22"/>
              </w:rPr>
              <w:t>Free Cash Flow</w:t>
            </w:r>
          </w:p>
          <w:p>
            <w:pPr>
              <w:pStyle w:val="TableContents"/>
              <w:bidi w:val="0"/>
              <w:spacing w:before="0" w:after="20"/>
              <w:jc w:val="left"/>
              <w:rPr/>
            </w:pPr>
            <w:r>
              <w:rPr/>
              <w:t> </w:t>
            </w:r>
            <w:r>
              <w:rPr>
                <w:rFonts w:ascii="ARIAL" w:hAnsi="ARIAL"/>
                <w:sz w:val="22"/>
              </w:rPr>
              <w:t>Productivity</w:t>
            </w:r>
          </w:p>
        </w:tc>
        <w:tc>
          <w:tcPr>
            <w:tcW w:w="120" w:type="dxa"/>
            <w:tcBorders/>
            <w:shd w:fill="D5EBF6" w:val="clear"/>
            <w:vAlign w:val="center"/>
          </w:tcPr>
          <w:p>
            <w:pPr>
              <w:pStyle w:val="TableContents"/>
              <w:bidi w:val="0"/>
              <w:spacing w:before="0" w:after="283"/>
              <w:jc w:val="left"/>
              <w:rPr/>
            </w:pPr>
            <w:r>
              <w:rPr/>
              <w:t>  </w:t>
            </w:r>
          </w:p>
        </w:tc>
        <w:tc>
          <w:tcPr>
            <w:tcW w:w="755"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16.67%</w:t>
            </w:r>
          </w:p>
        </w:tc>
        <w:tc>
          <w:tcPr>
            <w:tcW w:w="240" w:type="dxa"/>
            <w:tcBorders/>
            <w:shd w:fill="D5EBF6" w:val="clear"/>
            <w:vAlign w:val="center"/>
          </w:tcPr>
          <w:p>
            <w:pPr>
              <w:pStyle w:val="TableContents"/>
              <w:bidi w:val="0"/>
              <w:spacing w:before="0" w:after="283"/>
              <w:jc w:val="left"/>
              <w:rPr/>
            </w:pPr>
            <w:r>
              <w:rPr/>
              <w:t>    </w:t>
            </w:r>
          </w:p>
        </w:tc>
        <w:tc>
          <w:tcPr>
            <w:tcW w:w="53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2025</w:t>
            </w:r>
          </w:p>
        </w:tc>
        <w:tc>
          <w:tcPr>
            <w:tcW w:w="240" w:type="dxa"/>
            <w:tcBorders/>
            <w:shd w:fill="D5EBF6" w:val="clear"/>
            <w:vAlign w:val="center"/>
          </w:tcPr>
          <w:p>
            <w:pPr>
              <w:pStyle w:val="TableContents"/>
              <w:bidi w:val="0"/>
              <w:spacing w:before="0" w:after="283"/>
              <w:jc w:val="left"/>
              <w:rPr/>
            </w:pPr>
            <w:r>
              <w:rPr/>
              <w:t>    </w:t>
            </w:r>
          </w:p>
        </w:tc>
        <w:tc>
          <w:tcPr>
            <w:tcW w:w="119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&gt;60%</w:t>
            </w:r>
          </w:p>
        </w:tc>
        <w:tc>
          <w:tcPr>
            <w:tcW w:w="240" w:type="dxa"/>
            <w:tcBorders/>
            <w:shd w:fill="D5EBF6" w:val="clear"/>
            <w:vAlign w:val="center"/>
          </w:tcPr>
          <w:p>
            <w:pPr>
              <w:pStyle w:val="TableContents"/>
              <w:bidi w:val="0"/>
              <w:spacing w:before="0" w:after="283"/>
              <w:jc w:val="left"/>
              <w:rPr/>
            </w:pPr>
            <w:r>
              <w:rPr/>
              <w:t>    </w:t>
            </w:r>
          </w:p>
        </w:tc>
        <w:tc>
          <w:tcPr>
            <w:tcW w:w="107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90%</w:t>
            </w:r>
          </w:p>
        </w:tc>
        <w:tc>
          <w:tcPr>
            <w:tcW w:w="240" w:type="dxa"/>
            <w:tcBorders/>
            <w:shd w:fill="D5EBF6" w:val="clear"/>
            <w:vAlign w:val="center"/>
          </w:tcPr>
          <w:p>
            <w:pPr>
              <w:pStyle w:val="TableContents"/>
              <w:bidi w:val="0"/>
              <w:spacing w:before="0" w:after="283"/>
              <w:jc w:val="left"/>
              <w:rPr/>
            </w:pPr>
            <w:r>
              <w:rPr/>
              <w:t>    </w:t>
            </w:r>
          </w:p>
        </w:tc>
        <w:tc>
          <w:tcPr>
            <w:tcW w:w="152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120%</w:t>
            </w:r>
          </w:p>
        </w:tc>
      </w:tr>
      <w:tr>
        <w:trPr/>
        <w:tc>
          <w:tcPr>
            <w:tcW w:w="1850" w:type="dxa"/>
            <w:vMerge w:val="continue"/>
            <w:tcBorders>
              <w:bottom w:val="single" w:sz="6"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16.67%</w:t>
            </w:r>
          </w:p>
        </w:tc>
        <w:tc>
          <w:tcPr>
            <w:tcW w:w="24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2026</w:t>
            </w:r>
          </w:p>
        </w:tc>
        <w:tc>
          <w:tcPr>
            <w:tcW w:w="24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&gt;60%</w:t>
            </w:r>
          </w:p>
        </w:tc>
        <w:tc>
          <w:tcPr>
            <w:tcW w:w="24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90%</w:t>
            </w:r>
          </w:p>
        </w:tc>
        <w:tc>
          <w:tcPr>
            <w:tcW w:w="2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120%</w:t>
            </w:r>
          </w:p>
        </w:tc>
      </w:tr>
      <w:tr>
        <w:trPr/>
        <w:tc>
          <w:tcPr>
            <w:tcW w:w="1850" w:type="dxa"/>
            <w:vMerge w:val="continue"/>
            <w:tcBorders>
              <w:bottom w:val="single" w:sz="6" w:space="0" w:color="000000"/>
            </w:tcBorders>
            <w:tcMar>
              <w:bottom w:w="80" w:type="dxa"/>
            </w:tcMar>
            <w:vAlign w:val="center"/>
          </w:tcPr>
          <w:p>
            <w:pPr>
              <w:pStyle w:val="Normal"/>
              <w:bidi w:val="0"/>
              <w:jc w:val="left"/>
              <w:rPr/>
            </w:pPr>
            <w:r>
              <w:rPr/>
            </w:r>
          </w:p>
        </w:tc>
        <w:tc>
          <w:tcPr>
            <w:tcW w:w="12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755" w:type="dxa"/>
            <w:tcBorders>
              <w:bottom w:val="single" w:sz="6" w:space="0" w:color="000000"/>
            </w:tcBorders>
            <w:shd w:fill="D5EBF6"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16.67%</w:t>
            </w:r>
          </w:p>
        </w:tc>
        <w:tc>
          <w:tcPr>
            <w:tcW w:w="24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shd w:fill="D5EBF6"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2027</w:t>
            </w:r>
          </w:p>
        </w:tc>
        <w:tc>
          <w:tcPr>
            <w:tcW w:w="24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shd w:fill="D5EBF6"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&gt;60%</w:t>
            </w:r>
          </w:p>
        </w:tc>
        <w:tc>
          <w:tcPr>
            <w:tcW w:w="24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1070" w:type="dxa"/>
            <w:tcBorders>
              <w:bottom w:val="single" w:sz="6" w:space="0" w:color="000000"/>
            </w:tcBorders>
            <w:shd w:fill="D5EBF6"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90%</w:t>
            </w:r>
          </w:p>
        </w:tc>
        <w:tc>
          <w:tcPr>
            <w:tcW w:w="24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1520" w:type="dxa"/>
            <w:tcBorders>
              <w:bottom w:val="single" w:sz="6" w:space="0" w:color="000000"/>
            </w:tcBorders>
            <w:shd w:fill="D5EBF6"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120%</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1850" w:type="dxa"/>
            <w:vMerge w:val="restart"/>
            <w:tcBorders/>
            <w:vAlign w:val="center"/>
          </w:tcPr>
          <w:p>
            <w:pPr>
              <w:pStyle w:val="TableContents"/>
              <w:bidi w:val="0"/>
              <w:spacing w:before="0" w:after="0"/>
              <w:jc w:val="left"/>
              <w:rPr/>
            </w:pPr>
            <w:r>
              <w:rPr/>
              <w:t> </w:t>
            </w:r>
            <w:r>
              <w:rPr>
                <w:rFonts w:ascii="ARIAL" w:hAnsi="ARIAL"/>
                <w:sz w:val="22"/>
              </w:rPr>
              <w:t>Annual Adjusted</w:t>
            </w:r>
          </w:p>
          <w:p>
            <w:pPr>
              <w:pStyle w:val="TableContents"/>
              <w:bidi w:val="0"/>
              <w:spacing w:before="0" w:after="20"/>
              <w:jc w:val="left"/>
              <w:rPr/>
            </w:pPr>
            <w:r>
              <w:rPr/>
              <w:t> </w:t>
            </w:r>
            <w:r>
              <w:rPr>
                <w:rFonts w:ascii="ARIAL" w:hAnsi="ARIAL"/>
                <w:sz w:val="22"/>
              </w:rPr>
              <w:t>EPS Performance</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16.67%</w:t>
            </w:r>
          </w:p>
        </w:tc>
        <w:tc>
          <w:tcPr>
            <w:tcW w:w="24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2025</w:t>
            </w:r>
          </w:p>
        </w:tc>
        <w:tc>
          <w:tcPr>
            <w:tcW w:w="24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&gt;$.62</w:t>
            </w:r>
          </w:p>
        </w:tc>
        <w:tc>
          <w:tcPr>
            <w:tcW w:w="24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$.75</w:t>
            </w:r>
          </w:p>
        </w:tc>
        <w:tc>
          <w:tcPr>
            <w:tcW w:w="2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$.82</w:t>
            </w:r>
          </w:p>
        </w:tc>
      </w:tr>
      <w:tr>
        <w:trPr/>
        <w:tc>
          <w:tcPr>
            <w:tcW w:w="1850" w:type="dxa"/>
            <w:vMerge w:val="continue"/>
            <w:tcBorders/>
            <w:vAlign w:val="center"/>
          </w:tcPr>
          <w:p>
            <w:pPr>
              <w:pStyle w:val="Normal"/>
              <w:bidi w:val="0"/>
              <w:jc w:val="left"/>
              <w:rPr/>
            </w:pPr>
            <w:r>
              <w:rPr/>
            </w:r>
          </w:p>
        </w:tc>
        <w:tc>
          <w:tcPr>
            <w:tcW w:w="120" w:type="dxa"/>
            <w:tcBorders/>
            <w:shd w:fill="D5EBF6" w:val="clear"/>
            <w:vAlign w:val="center"/>
          </w:tcPr>
          <w:p>
            <w:pPr>
              <w:pStyle w:val="TableContents"/>
              <w:bidi w:val="0"/>
              <w:spacing w:before="0" w:after="283"/>
              <w:jc w:val="left"/>
              <w:rPr/>
            </w:pPr>
            <w:r>
              <w:rPr/>
              <w:t>  </w:t>
            </w:r>
          </w:p>
        </w:tc>
        <w:tc>
          <w:tcPr>
            <w:tcW w:w="755"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16.67%</w:t>
            </w:r>
          </w:p>
        </w:tc>
        <w:tc>
          <w:tcPr>
            <w:tcW w:w="240" w:type="dxa"/>
            <w:tcBorders/>
            <w:shd w:fill="D5EBF6" w:val="clear"/>
            <w:vAlign w:val="center"/>
          </w:tcPr>
          <w:p>
            <w:pPr>
              <w:pStyle w:val="TableContents"/>
              <w:bidi w:val="0"/>
              <w:spacing w:before="0" w:after="283"/>
              <w:jc w:val="left"/>
              <w:rPr/>
            </w:pPr>
            <w:r>
              <w:rPr/>
              <w:t>    </w:t>
            </w:r>
          </w:p>
        </w:tc>
        <w:tc>
          <w:tcPr>
            <w:tcW w:w="53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2026</w:t>
            </w:r>
          </w:p>
        </w:tc>
        <w:tc>
          <w:tcPr>
            <w:tcW w:w="240" w:type="dxa"/>
            <w:tcBorders/>
            <w:shd w:fill="D5EBF6" w:val="clear"/>
            <w:vAlign w:val="center"/>
          </w:tcPr>
          <w:p>
            <w:pPr>
              <w:pStyle w:val="TableContents"/>
              <w:bidi w:val="0"/>
              <w:spacing w:before="0" w:after="283"/>
              <w:jc w:val="left"/>
              <w:rPr/>
            </w:pPr>
            <w:r>
              <w:rPr/>
              <w:t>    </w:t>
            </w:r>
          </w:p>
        </w:tc>
        <w:tc>
          <w:tcPr>
            <w:tcW w:w="119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&gt;0% growth</w:t>
            </w:r>
          </w:p>
        </w:tc>
        <w:tc>
          <w:tcPr>
            <w:tcW w:w="240" w:type="dxa"/>
            <w:tcBorders/>
            <w:shd w:fill="D5EBF6" w:val="clear"/>
            <w:vAlign w:val="center"/>
          </w:tcPr>
          <w:p>
            <w:pPr>
              <w:pStyle w:val="TableContents"/>
              <w:bidi w:val="0"/>
              <w:spacing w:before="0" w:after="283"/>
              <w:jc w:val="left"/>
              <w:rPr/>
            </w:pPr>
            <w:r>
              <w:rPr/>
              <w:t>    </w:t>
            </w:r>
          </w:p>
        </w:tc>
        <w:tc>
          <w:tcPr>
            <w:tcW w:w="107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8% growth</w:t>
            </w:r>
          </w:p>
        </w:tc>
        <w:tc>
          <w:tcPr>
            <w:tcW w:w="240" w:type="dxa"/>
            <w:tcBorders/>
            <w:shd w:fill="D5EBF6" w:val="clear"/>
            <w:vAlign w:val="center"/>
          </w:tcPr>
          <w:p>
            <w:pPr>
              <w:pStyle w:val="TableContents"/>
              <w:bidi w:val="0"/>
              <w:spacing w:before="0" w:after="283"/>
              <w:jc w:val="left"/>
              <w:rPr/>
            </w:pPr>
            <w:r>
              <w:rPr/>
              <w:t>    </w:t>
            </w:r>
          </w:p>
        </w:tc>
        <w:tc>
          <w:tcPr>
            <w:tcW w:w="152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15% growth</w:t>
            </w:r>
          </w:p>
        </w:tc>
      </w:tr>
      <w:tr>
        <w:trPr/>
        <w:tc>
          <w:tcPr>
            <w:tcW w:w="18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16.67%</w:t>
            </w:r>
          </w:p>
        </w:tc>
        <w:tc>
          <w:tcPr>
            <w:tcW w:w="24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2027</w:t>
            </w:r>
          </w:p>
        </w:tc>
        <w:tc>
          <w:tcPr>
            <w:tcW w:w="24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&gt;0% growth</w:t>
            </w:r>
          </w:p>
        </w:tc>
        <w:tc>
          <w:tcPr>
            <w:tcW w:w="24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8% growth</w:t>
            </w:r>
          </w:p>
        </w:tc>
        <w:tc>
          <w:tcPr>
            <w:tcW w:w="2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15% growth</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i/>
          <w:sz w:val="22"/>
          <w:u w:val="single"/>
        </w:rPr>
      </w:pPr>
      <w:r>
        <w:rPr>
          <w:rFonts w:ascii="ARIAL" w:hAnsi="ARIAL"/>
          <w:i/>
          <w:sz w:val="22"/>
          <w:u w:val="single"/>
        </w:rPr>
        <w:t xml:space="preserve">2023-2025 LTIP Awards </w:t>
      </w:r>
    </w:p>
    <w:p>
      <w:pPr>
        <w:pStyle w:val="TextBody"/>
        <w:bidi w:val="0"/>
        <w:spacing w:before="240" w:after="0"/>
        <w:jc w:val="both"/>
        <w:rPr>
          <w:rFonts w:ascii="ARIAL" w:hAnsi="ARIAL"/>
          <w:sz w:val="22"/>
        </w:rPr>
      </w:pPr>
      <w:r>
        <w:rPr>
          <w:rFonts w:ascii="ARIAL" w:hAnsi="ARIAL"/>
          <w:sz w:val="22"/>
        </w:rPr>
        <w:t xml:space="preserve">For PRSUs granted pursuant to the LTIP in 2023, the performance metrics were based 50% on the Company’s annual adjusted EPS performance and 50% on free cash flow productivity over a three-year performance period between January 1, 2023 and December 31, 2025, as modified by the Company’s relative TSR performance during the period, as described below. The potential shares earned for each of annual adjusted EPS performance(1) and free cash flow productivity(2) ranged from 0% to 200% of target depending on the Company’s performance. For each metric, the total Performance Factor earned with respect to the three-year performance period between January 1, 2023 and December 31, 2025 was set as the average of annual payout percentages over a three-year performance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both"/>
              <w:rPr>
                <w:rFonts w:ascii="ARIAL" w:hAnsi="ARIAL"/>
                <w:sz w:val="18"/>
              </w:rPr>
            </w:pPr>
            <w:r>
              <w:rPr>
                <w:rFonts w:ascii="ARIAL" w:hAnsi="ARIAL"/>
                <w:sz w:val="18"/>
              </w:rPr>
              <w:t xml:space="preserve">For purposes of the 2023 LTIP, the annual adjusted EPS performance targets for the first year are expressed in terms of adjusted EPS for the full year. The targets for the second and third years are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expressed in terms of annual adjusted EPS growth rates. “Adjusted EPS” is the Company’s reported EPS, as determined in accordance with GAAP, excluding Normalized Adjustments.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0"/>
              <w:jc w:val="both"/>
              <w:rPr>
                <w:rFonts w:ascii="ARIAL" w:hAnsi="ARIAL"/>
                <w:sz w:val="18"/>
              </w:rPr>
            </w:pPr>
            <w:r>
              <w:rPr>
                <w:rFonts w:ascii="ARIAL" w:hAnsi="ARIAL"/>
                <w:sz w:val="18"/>
              </w:rPr>
              <w:t xml:space="preserve">For the purposes of the 2023 LTIP, “free cash flow productivity” is defined as free cash flow divided by adjusted net income for the relevant period, expressed as a percentage. “Free cash flow” is the Company’s reported operating cash flow as determined in accordance with GAAP, less capital expenditures, and “adjusted net income” is the Company’s reported net income as determined in accordance with GAAP, in each case excluding the impact of impairment charges; gains, losses and tax payments associated with the divestiture of a business unit or line of business; non-cash discrete tax charges and benefits; and other items significantly affecting the calculation of free cash flow productivity that are not indicative of the Company’s core operating results for the relevant period and affect the comparability of underlying results from period to period, as determined by the Committee, which for the 2023 LTIP consisted of hyperinflationary currency movements, costs related to the refinancing of pending bond maturities in 2024 and 2025, certain divestiture related costs and certain unusual non-cash inventory charges recorded in 2023.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Following the determination of the extent to which the Company achieved its performance goals, a positive or negative adjustment to the Performance Factor was to be made based upon a comparison of the Company’s TSR relative to a pre-determined set of comparator group companies listed below (the “</w:t>
      </w:r>
      <w:r>
        <w:rPr>
          <w:rFonts w:ascii="ARIAL" w:hAnsi="ARIAL"/>
          <w:b/>
          <w:sz w:val="22"/>
        </w:rPr>
        <w:t>2023 TSR Comparator Group</w:t>
      </w:r>
      <w:r>
        <w:rPr>
          <w:rFonts w:ascii="ARIAL" w:hAnsi="ARIAL"/>
          <w:sz w:val="22"/>
        </w:rPr>
        <w:t xml:space="preserve">”) for the three-year performance period. If the Company’s ranking finished in the bottom quartile of the TSR Comparator Group (including the Company) at the end of the performance period, the Performance Factor would be multiplied by 90% to determine the total Performance Factor for the award. If the Company’s ranking finished in the top quartile of the TSR Comparator Group (including the Company) at the end of the performance period, the Performance Factor would be multiplied by 110%. For a ranking in the second or third quartile, no TSR-related adjustment would be made. The total maximum Performance Factor for the award was limited to 200% of the target. </w:t>
      </w:r>
    </w:p>
    <w:p>
      <w:pPr>
        <w:pStyle w:val="TextBody"/>
        <w:bidi w:val="0"/>
        <w:spacing w:before="240" w:after="0"/>
        <w:jc w:val="both"/>
        <w:rPr>
          <w:rFonts w:ascii="ARIAL" w:hAnsi="ARIAL"/>
          <w:sz w:val="22"/>
        </w:rPr>
      </w:pPr>
      <w:r>
        <w:rPr>
          <w:rFonts w:ascii="ARIAL" w:hAnsi="ARIAL"/>
          <w:sz w:val="22"/>
        </w:rPr>
        <w:t xml:space="preserve">The 2023 TSR Comparator Group was as follows: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6010" w:type="dxa"/>
        <w:jc w:val="left"/>
        <w:tblInd w:w="0" w:type="dxa"/>
        <w:tblLayout w:type="fixed"/>
        <w:tblCellMar>
          <w:top w:w="0" w:type="dxa"/>
          <w:left w:w="0" w:type="dxa"/>
          <w:bottom w:w="0" w:type="dxa"/>
          <w:right w:w="0" w:type="dxa"/>
        </w:tblCellMar>
      </w:tblPr>
      <w:tblGrid>
        <w:gridCol w:w="2810"/>
        <w:gridCol w:w="120"/>
        <w:gridCol w:w="3080"/>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2810" w:type="dxa"/>
            <w:tcBorders/>
            <w:shd w:fill="D5EBF6" w:val="clear"/>
            <w:vAlign w:val="center"/>
          </w:tcPr>
          <w:p>
            <w:pPr>
              <w:pStyle w:val="TableContents"/>
              <w:bidi w:val="0"/>
              <w:spacing w:before="0" w:after="283"/>
              <w:jc w:val="left"/>
              <w:rPr>
                <w:sz w:val="4"/>
                <w:szCs w:val="4"/>
              </w:rPr>
            </w:pPr>
            <w:r>
              <w:rPr>
                <w:sz w:val="4"/>
                <w:szCs w:val="4"/>
              </w:rPr>
            </w:r>
          </w:p>
        </w:tc>
        <w:tc>
          <w:tcPr>
            <w:tcW w:w="320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810" w:type="dxa"/>
            <w:tcBorders/>
            <w:shd w:fill="D5EBF6" w:val="clear"/>
            <w:vAlign w:val="center"/>
          </w:tcPr>
          <w:p>
            <w:pPr>
              <w:pStyle w:val="TableContents"/>
              <w:bidi w:val="0"/>
              <w:spacing w:before="0" w:after="283"/>
              <w:jc w:val="center"/>
              <w:rPr/>
            </w:pPr>
            <w:r>
              <w:rPr/>
              <w:t>Avery Dennison Corporation</w:t>
            </w:r>
          </w:p>
        </w:tc>
        <w:tc>
          <w:tcPr>
            <w:tcW w:w="120" w:type="dxa"/>
            <w:tcBorders/>
            <w:shd w:fill="D5EBF6" w:val="clear"/>
            <w:vAlign w:val="center"/>
          </w:tcPr>
          <w:p>
            <w:pPr>
              <w:pStyle w:val="TableContents"/>
              <w:bidi w:val="0"/>
              <w:spacing w:before="0" w:after="283"/>
              <w:jc w:val="left"/>
              <w:rPr/>
            </w:pPr>
            <w:r>
              <w:rPr/>
              <w:t>  </w:t>
            </w:r>
          </w:p>
        </w:tc>
        <w:tc>
          <w:tcPr>
            <w:tcW w:w="3080" w:type="dxa"/>
            <w:tcBorders/>
            <w:shd w:fill="D5EBF6" w:val="clear"/>
            <w:vAlign w:val="center"/>
          </w:tcPr>
          <w:p>
            <w:pPr>
              <w:pStyle w:val="TableContents"/>
              <w:bidi w:val="0"/>
              <w:spacing w:before="0" w:after="283"/>
              <w:jc w:val="center"/>
              <w:rPr/>
            </w:pPr>
            <w:r>
              <w:rPr/>
              <w:t>Kimberly-Clark Corporation</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3200"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center"/>
              <w:rPr/>
            </w:pPr>
            <w:r>
              <w:rPr/>
              <w:t>Bath &amp; Body Works, Inc.</w:t>
            </w:r>
          </w:p>
        </w:tc>
        <w:tc>
          <w:tcPr>
            <w:tcW w:w="1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center"/>
              <w:rPr/>
            </w:pPr>
            <w:r>
              <w:rPr/>
              <w:t>Masco Corporation</w:t>
            </w:r>
          </w:p>
        </w:tc>
      </w:tr>
      <w:tr>
        <w:trPr/>
        <w:tc>
          <w:tcPr>
            <w:tcW w:w="2810" w:type="dxa"/>
            <w:tcBorders/>
            <w:shd w:fill="D5EBF6" w:val="clear"/>
            <w:vAlign w:val="center"/>
          </w:tcPr>
          <w:p>
            <w:pPr>
              <w:pStyle w:val="TableContents"/>
              <w:bidi w:val="0"/>
              <w:spacing w:before="0" w:after="283"/>
              <w:jc w:val="left"/>
              <w:rPr>
                <w:sz w:val="4"/>
                <w:szCs w:val="4"/>
              </w:rPr>
            </w:pPr>
            <w:r>
              <w:rPr>
                <w:sz w:val="4"/>
                <w:szCs w:val="4"/>
              </w:rPr>
            </w:r>
          </w:p>
        </w:tc>
        <w:tc>
          <w:tcPr>
            <w:tcW w:w="320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810" w:type="dxa"/>
            <w:tcBorders/>
            <w:shd w:fill="D5EBF6" w:val="clear"/>
            <w:vAlign w:val="center"/>
          </w:tcPr>
          <w:p>
            <w:pPr>
              <w:pStyle w:val="TableContents"/>
              <w:bidi w:val="0"/>
              <w:spacing w:before="0" w:after="283"/>
              <w:jc w:val="center"/>
              <w:rPr/>
            </w:pPr>
            <w:r>
              <w:rPr/>
              <w:t>Church &amp; Dwight Co., Inc.</w:t>
            </w:r>
          </w:p>
        </w:tc>
        <w:tc>
          <w:tcPr>
            <w:tcW w:w="120" w:type="dxa"/>
            <w:tcBorders/>
            <w:shd w:fill="D5EBF6" w:val="clear"/>
            <w:vAlign w:val="center"/>
          </w:tcPr>
          <w:p>
            <w:pPr>
              <w:pStyle w:val="TableContents"/>
              <w:bidi w:val="0"/>
              <w:spacing w:before="0" w:after="283"/>
              <w:jc w:val="left"/>
              <w:rPr/>
            </w:pPr>
            <w:r>
              <w:rPr/>
              <w:t>  </w:t>
            </w:r>
          </w:p>
        </w:tc>
        <w:tc>
          <w:tcPr>
            <w:tcW w:w="3080" w:type="dxa"/>
            <w:tcBorders/>
            <w:shd w:fill="D5EBF6" w:val="clear"/>
            <w:vAlign w:val="center"/>
          </w:tcPr>
          <w:p>
            <w:pPr>
              <w:pStyle w:val="TableContents"/>
              <w:bidi w:val="0"/>
              <w:spacing w:before="0" w:after="283"/>
              <w:jc w:val="center"/>
              <w:rPr/>
            </w:pPr>
            <w:r>
              <w:rPr/>
              <w:t>Mattel, Inc.</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3200"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center"/>
              <w:rPr/>
            </w:pPr>
            <w:r>
              <w:rPr/>
              <w:t>The Clorox Company</w:t>
            </w:r>
          </w:p>
        </w:tc>
        <w:tc>
          <w:tcPr>
            <w:tcW w:w="1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center"/>
              <w:rPr/>
            </w:pPr>
            <w:r>
              <w:rPr/>
              <w:t>Spectrum Brands Holdings, Inc.</w:t>
            </w:r>
          </w:p>
        </w:tc>
      </w:tr>
      <w:tr>
        <w:trPr/>
        <w:tc>
          <w:tcPr>
            <w:tcW w:w="2810" w:type="dxa"/>
            <w:tcBorders/>
            <w:shd w:fill="D5EBF6" w:val="clear"/>
            <w:vAlign w:val="center"/>
          </w:tcPr>
          <w:p>
            <w:pPr>
              <w:pStyle w:val="TableContents"/>
              <w:bidi w:val="0"/>
              <w:spacing w:before="0" w:after="283"/>
              <w:jc w:val="left"/>
              <w:rPr>
                <w:sz w:val="4"/>
                <w:szCs w:val="4"/>
              </w:rPr>
            </w:pPr>
            <w:r>
              <w:rPr>
                <w:sz w:val="4"/>
                <w:szCs w:val="4"/>
              </w:rPr>
            </w:r>
          </w:p>
        </w:tc>
        <w:tc>
          <w:tcPr>
            <w:tcW w:w="320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810" w:type="dxa"/>
            <w:tcBorders/>
            <w:shd w:fill="D5EBF6" w:val="clear"/>
            <w:vAlign w:val="center"/>
          </w:tcPr>
          <w:p>
            <w:pPr>
              <w:pStyle w:val="TableContents"/>
              <w:bidi w:val="0"/>
              <w:spacing w:before="0" w:after="283"/>
              <w:jc w:val="center"/>
              <w:rPr/>
            </w:pPr>
            <w:r>
              <w:rPr/>
              <w:t>Colgate Palmolive Company</w:t>
            </w:r>
          </w:p>
        </w:tc>
        <w:tc>
          <w:tcPr>
            <w:tcW w:w="120" w:type="dxa"/>
            <w:tcBorders/>
            <w:shd w:fill="D5EBF6" w:val="clear"/>
            <w:vAlign w:val="center"/>
          </w:tcPr>
          <w:p>
            <w:pPr>
              <w:pStyle w:val="TableContents"/>
              <w:bidi w:val="0"/>
              <w:spacing w:before="0" w:after="283"/>
              <w:jc w:val="left"/>
              <w:rPr/>
            </w:pPr>
            <w:r>
              <w:rPr/>
              <w:t>  </w:t>
            </w:r>
          </w:p>
        </w:tc>
        <w:tc>
          <w:tcPr>
            <w:tcW w:w="3080" w:type="dxa"/>
            <w:tcBorders/>
            <w:shd w:fill="D5EBF6" w:val="clear"/>
            <w:vAlign w:val="center"/>
          </w:tcPr>
          <w:p>
            <w:pPr>
              <w:pStyle w:val="TableContents"/>
              <w:bidi w:val="0"/>
              <w:spacing w:before="0" w:after="283"/>
              <w:jc w:val="center"/>
              <w:rPr/>
            </w:pPr>
            <w:r>
              <w:rPr/>
              <w:t>Stanley Black &amp; Decker, Inc.</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3200" w:type="dxa"/>
            <w:gridSpan w:val="2"/>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center"/>
              <w:rPr/>
            </w:pPr>
            <w:r>
              <w:rPr/>
              <w:t>General Mills, Inc.</w:t>
            </w:r>
          </w:p>
        </w:tc>
        <w:tc>
          <w:tcPr>
            <w:tcW w:w="1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center"/>
              <w:rPr/>
            </w:pPr>
            <w:r>
              <w:rPr/>
              <w:t>VF Corporation</w:t>
            </w:r>
          </w:p>
        </w:tc>
      </w:tr>
      <w:tr>
        <w:trPr/>
        <w:tc>
          <w:tcPr>
            <w:tcW w:w="2810" w:type="dxa"/>
            <w:tcBorders/>
            <w:shd w:fill="D5EBF6" w:val="clear"/>
            <w:vAlign w:val="center"/>
          </w:tcPr>
          <w:p>
            <w:pPr>
              <w:pStyle w:val="TableContents"/>
              <w:bidi w:val="0"/>
              <w:spacing w:before="0" w:after="283"/>
              <w:jc w:val="left"/>
              <w:rPr>
                <w:sz w:val="4"/>
                <w:szCs w:val="4"/>
              </w:rPr>
            </w:pPr>
            <w:r>
              <w:rPr>
                <w:sz w:val="4"/>
                <w:szCs w:val="4"/>
              </w:rPr>
            </w:r>
          </w:p>
        </w:tc>
        <w:tc>
          <w:tcPr>
            <w:tcW w:w="320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810" w:type="dxa"/>
            <w:tcBorders/>
            <w:shd w:fill="D5EBF6" w:val="clear"/>
            <w:vAlign w:val="center"/>
          </w:tcPr>
          <w:p>
            <w:pPr>
              <w:pStyle w:val="TableContents"/>
              <w:bidi w:val="0"/>
              <w:spacing w:before="0" w:after="283"/>
              <w:jc w:val="center"/>
              <w:rPr/>
            </w:pPr>
            <w:r>
              <w:rPr/>
              <w:t>Helen of Troy Limited</w:t>
            </w:r>
          </w:p>
        </w:tc>
        <w:tc>
          <w:tcPr>
            <w:tcW w:w="120" w:type="dxa"/>
            <w:tcBorders/>
            <w:shd w:fill="D5EBF6" w:val="clear"/>
            <w:vAlign w:val="center"/>
          </w:tcPr>
          <w:p>
            <w:pPr>
              <w:pStyle w:val="TableContents"/>
              <w:bidi w:val="0"/>
              <w:spacing w:before="0" w:after="283"/>
              <w:jc w:val="left"/>
              <w:rPr/>
            </w:pPr>
            <w:r>
              <w:rPr/>
              <w:t>  </w:t>
            </w:r>
          </w:p>
        </w:tc>
        <w:tc>
          <w:tcPr>
            <w:tcW w:w="3080" w:type="dxa"/>
            <w:tcBorders/>
            <w:shd w:fill="D5EBF6" w:val="clear"/>
            <w:vAlign w:val="center"/>
          </w:tcPr>
          <w:p>
            <w:pPr>
              <w:pStyle w:val="TableContents"/>
              <w:bidi w:val="0"/>
              <w:spacing w:before="0" w:after="283"/>
              <w:jc w:val="center"/>
              <w:rPr/>
            </w:pPr>
            <w:r>
              <w:rPr/>
              <w:t>Whirlpool Corporation</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 xml:space="preserve">The Company’s performance against the 2023 LTIP PRSU metrics set by the Committee in February 2023, as calculated for the performance period beginning in January 2023 and ending December 31, 2025, is summarized below.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2"/>
          <w:u w:val="single"/>
        </w:rPr>
      </w:pPr>
      <w:r>
        <w:rPr>
          <w:rFonts w:ascii="ARIAL" w:hAnsi="ARIAL"/>
          <w:b/>
          <w:sz w:val="22"/>
          <w:u w:val="single"/>
        </w:rPr>
        <w:t xml:space="preserve">2023 LTIP Targets and Actual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5"/>
        <w:gridCol w:w="60"/>
        <w:gridCol w:w="120"/>
        <w:gridCol w:w="60"/>
        <w:gridCol w:w="755"/>
        <w:gridCol w:w="60"/>
        <w:gridCol w:w="120"/>
        <w:gridCol w:w="60"/>
        <w:gridCol w:w="530"/>
        <w:gridCol w:w="60"/>
        <w:gridCol w:w="120"/>
        <w:gridCol w:w="60"/>
        <w:gridCol w:w="1100"/>
        <w:gridCol w:w="60"/>
        <w:gridCol w:w="120"/>
        <w:gridCol w:w="60"/>
        <w:gridCol w:w="1025"/>
        <w:gridCol w:w="60"/>
        <w:gridCol w:w="120"/>
        <w:gridCol w:w="60"/>
        <w:gridCol w:w="1430"/>
        <w:gridCol w:w="60"/>
        <w:gridCol w:w="1340"/>
        <w:gridCol w:w="60"/>
        <w:gridCol w:w="1040"/>
      </w:tblGrid>
      <w:tr>
        <w:trPr/>
        <w:tc>
          <w:tcPr>
            <w:tcW w:w="1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665" w:type="dxa"/>
            <w:tcBorders>
              <w:bottom w:val="single" w:sz="6" w:space="0" w:color="000000"/>
            </w:tcBorders>
            <w:tcMar>
              <w:bottom w:w="60" w:type="dxa"/>
            </w:tcMar>
            <w:vAlign w:val="center"/>
          </w:tcPr>
          <w:p>
            <w:pPr>
              <w:pStyle w:val="TableContents"/>
              <w:bidi w:val="0"/>
              <w:spacing w:before="0" w:after="283"/>
              <w:jc w:val="left"/>
              <w:rPr/>
            </w:pPr>
            <w:r>
              <w:rPr/>
              <w:t> </w:t>
            </w:r>
            <w:r>
              <w:rPr>
                <w:b/>
              </w:rPr>
              <w:t>Performance</w:t>
              <w:br/>
              <w:t> Goals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tcBorders>
              <w:bottom w:val="single" w:sz="6" w:space="0" w:color="000000"/>
            </w:tcBorders>
            <w:tcMar>
              <w:bottom w:w="60" w:type="dxa"/>
            </w:tcMar>
            <w:vAlign w:val="center"/>
          </w:tcPr>
          <w:p>
            <w:pPr>
              <w:pStyle w:val="TableContents"/>
              <w:bidi w:val="0"/>
              <w:spacing w:before="0" w:after="283"/>
              <w:jc w:val="center"/>
              <w:rPr>
                <w:b/>
              </w:rPr>
            </w:pPr>
            <w:r>
              <w:rPr>
                <w:b/>
              </w:rPr>
              <w:t>Weight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60" w:type="dxa"/>
            </w:tcMar>
            <w:vAlign w:val="center"/>
          </w:tcPr>
          <w:p>
            <w:pPr>
              <w:pStyle w:val="TableContents"/>
              <w:bidi w:val="0"/>
              <w:spacing w:before="0" w:after="283"/>
              <w:jc w:val="center"/>
              <w:rPr>
                <w:b/>
              </w:rPr>
            </w:pPr>
            <w:r>
              <w:rPr>
                <w:b/>
              </w:rPr>
              <w:t>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60" w:type="dxa"/>
            </w:tcMar>
            <w:vAlign w:val="center"/>
          </w:tcPr>
          <w:p>
            <w:pPr>
              <w:pStyle w:val="TableContents"/>
              <w:bidi w:val="0"/>
              <w:spacing w:before="0" w:after="283"/>
              <w:jc w:val="center"/>
              <w:rPr>
                <w:b/>
              </w:rPr>
            </w:pPr>
            <w:r>
              <w:rPr>
                <w:b/>
              </w:rPr>
              <w:t>Minimum</w:t>
              <w:br/>
              <w:t>Threshold</w:t>
              <w:br/>
              <w:t>for Payout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60" w:type="dxa"/>
            </w:tcMar>
            <w:vAlign w:val="center"/>
          </w:tcPr>
          <w:p>
            <w:pPr>
              <w:pStyle w:val="TableContents"/>
              <w:bidi w:val="0"/>
              <w:spacing w:before="0" w:after="0"/>
              <w:jc w:val="center"/>
              <w:rPr>
                <w:rFonts w:ascii="ARIAL" w:hAnsi="ARIAL"/>
                <w:b/>
                <w:sz w:val="16"/>
              </w:rPr>
            </w:pPr>
            <w:r>
              <w:rPr>
                <w:rFonts w:ascii="ARIAL" w:hAnsi="ARIAL"/>
                <w:b/>
                <w:sz w:val="16"/>
              </w:rPr>
              <w:t>Target for</w:t>
              <w:br/>
              <w:t>Performance</w:t>
            </w:r>
          </w:p>
          <w:p>
            <w:pPr>
              <w:pStyle w:val="TableContents"/>
              <w:bidi w:val="0"/>
              <w:spacing w:before="0" w:after="20"/>
              <w:jc w:val="center"/>
              <w:rPr>
                <w:rFonts w:ascii="ARIAL" w:hAnsi="ARIAL"/>
                <w:b/>
                <w:sz w:val="16"/>
              </w:rPr>
            </w:pPr>
            <w:r>
              <w:rPr>
                <w:rFonts w:ascii="ARIAL" w:hAnsi="ARIAL"/>
                <w:b/>
                <w:sz w:val="16"/>
              </w:rPr>
              <w:t>Factor</w:t>
              <w:br/>
              <w:t>at 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60" w:type="dxa"/>
            </w:tcMar>
            <w:vAlign w:val="center"/>
          </w:tcPr>
          <w:p>
            <w:pPr>
              <w:pStyle w:val="TableContents"/>
              <w:bidi w:val="0"/>
              <w:spacing w:before="0" w:after="283"/>
              <w:jc w:val="center"/>
              <w:rPr>
                <w:b/>
              </w:rPr>
            </w:pPr>
            <w:r>
              <w:rPr>
                <w:b/>
              </w:rPr>
              <w:t>Performance</w:t>
              <w:br/>
              <w:t>for Maximum</w:t>
              <w:br/>
              <w:t>Performance</w:t>
              <w:br/>
              <w:t>Factor</w:t>
              <w:br/>
              <w:t>(200%)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60" w:type="dxa"/>
            </w:tcMar>
            <w:vAlign w:val="center"/>
          </w:tcPr>
          <w:p>
            <w:pPr>
              <w:pStyle w:val="TableContents"/>
              <w:bidi w:val="0"/>
              <w:spacing w:before="0" w:after="283"/>
              <w:jc w:val="center"/>
              <w:rPr>
                <w:b/>
              </w:rPr>
            </w:pPr>
            <w:r>
              <w:rPr>
                <w:b/>
              </w:rPr>
              <w:t>Actual</w:t>
              <w:br/>
              <w:t>Performance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60" w:type="dxa"/>
            </w:tcMar>
            <w:vAlign w:val="center"/>
          </w:tcPr>
          <w:p>
            <w:pPr>
              <w:pStyle w:val="TableContents"/>
              <w:bidi w:val="0"/>
              <w:spacing w:before="0" w:after="0"/>
              <w:jc w:val="center"/>
              <w:rPr>
                <w:rFonts w:ascii="ARIAL" w:hAnsi="ARIAL"/>
                <w:b/>
                <w:sz w:val="16"/>
              </w:rPr>
            </w:pPr>
            <w:r>
              <w:rPr>
                <w:rFonts w:ascii="ARIAL" w:hAnsi="ARIAL"/>
                <w:b/>
                <w:sz w:val="16"/>
              </w:rPr>
              <w:t>Performance</w:t>
            </w:r>
          </w:p>
          <w:p>
            <w:pPr>
              <w:pStyle w:val="TableContents"/>
              <w:bidi w:val="0"/>
              <w:spacing w:before="0" w:after="20"/>
              <w:jc w:val="center"/>
              <w:rPr>
                <w:rFonts w:ascii="ARIAL" w:hAnsi="ARIAL"/>
                <w:b/>
                <w:sz w:val="16"/>
              </w:rPr>
            </w:pPr>
            <w:r>
              <w:rPr>
                <w:rFonts w:ascii="ARIAL" w:hAnsi="ARIAL"/>
                <w:b/>
                <w:sz w:val="16"/>
              </w:rPr>
              <w:t>Factor %</w:t>
            </w:r>
          </w:p>
        </w:tc>
      </w:tr>
      <w:tr>
        <w:trPr/>
        <w:tc>
          <w:tcPr>
            <w:tcW w:w="1665" w:type="dxa"/>
            <w:tcBorders>
              <w:bottom w:val="single" w:sz="6" w:space="0" w:color="000000"/>
            </w:tcBorders>
            <w:tcMar>
              <w:bottom w:w="28" w:type="dxa"/>
            </w:tcMar>
            <w:vAlign w:val="center"/>
          </w:tcPr>
          <w:p>
            <w:pPr>
              <w:pStyle w:val="TableContents"/>
              <w:bidi w:val="0"/>
              <w:spacing w:before="0" w:after="20"/>
              <w:jc w:val="both"/>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65" w:type="dxa"/>
            <w:vMerge w:val="restart"/>
            <w:tcBorders>
              <w:bottom w:val="single" w:sz="6" w:space="0" w:color="000000"/>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Free Cash</w:t>
            </w:r>
          </w:p>
          <w:p>
            <w:pPr>
              <w:pStyle w:val="TableContents"/>
              <w:bidi w:val="0"/>
              <w:spacing w:before="0" w:after="0"/>
              <w:jc w:val="left"/>
              <w:rPr/>
            </w:pPr>
            <w:r>
              <w:rPr/>
              <w:t> </w:t>
            </w:r>
            <w:r>
              <w:rPr>
                <w:rFonts w:ascii="ARIAL" w:hAnsi="ARIAL"/>
                <w:sz w:val="18"/>
              </w:rPr>
              <w:t>Flow</w:t>
            </w:r>
          </w:p>
          <w:p>
            <w:pPr>
              <w:pStyle w:val="TableContents"/>
              <w:bidi w:val="0"/>
              <w:spacing w:before="0" w:after="20"/>
              <w:jc w:val="left"/>
              <w:rPr/>
            </w:pPr>
            <w:r>
              <w:rPr/>
              <w:t> </w:t>
            </w:r>
            <w:r>
              <w:rPr>
                <w:rFonts w:ascii="ARIAL" w:hAnsi="ARIAL"/>
                <w:sz w:val="18"/>
              </w:rPr>
              <w:t>Productivity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55"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16.67%</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53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2023</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&gt;100%</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025"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125%</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43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175%</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544%</w:t>
            </w:r>
          </w:p>
        </w:tc>
        <w:tc>
          <w:tcPr>
            <w:tcW w:w="60" w:type="dxa"/>
            <w:tcBorders/>
            <w:shd w:fill="D5EBF6" w:val="clear"/>
            <w:vAlign w:val="center"/>
          </w:tcPr>
          <w:p>
            <w:pPr>
              <w:pStyle w:val="TableContents"/>
              <w:bidi w:val="0"/>
              <w:spacing w:before="0" w:after="283"/>
              <w:jc w:val="left"/>
              <w:rPr/>
            </w:pPr>
            <w:r>
              <w:rPr/>
              <w:t> </w:t>
            </w:r>
          </w:p>
        </w:tc>
        <w:tc>
          <w:tcPr>
            <w:tcW w:w="104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200%</w:t>
            </w:r>
          </w:p>
        </w:tc>
      </w:tr>
      <w:tr>
        <w:trPr/>
        <w:tc>
          <w:tcPr>
            <w:tcW w:w="1665" w:type="dxa"/>
            <w:vMerge w:val="continue"/>
            <w:tcBorders>
              <w:bottom w:val="single" w:sz="6" w:space="0" w:color="000000"/>
            </w:tcBorders>
            <w:tcMar>
              <w:bottom w:w="6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&gt;60%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120%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339%</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200%</w:t>
            </w:r>
          </w:p>
        </w:tc>
      </w:tr>
      <w:tr>
        <w:trPr/>
        <w:tc>
          <w:tcPr>
            <w:tcW w:w="1665" w:type="dxa"/>
            <w:vMerge w:val="continue"/>
            <w:tcBorders>
              <w:bottom w:val="single" w:sz="6" w:space="0" w:color="000000"/>
            </w:tcBorders>
            <w:tcMar>
              <w:bottom w:w="6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55"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16.67%</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53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2025</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&gt;60%</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025"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90%</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43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120%</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156%</w:t>
            </w:r>
          </w:p>
        </w:tc>
        <w:tc>
          <w:tcPr>
            <w:tcW w:w="60" w:type="dxa"/>
            <w:tcBorders/>
            <w:shd w:fill="D5EBF6" w:val="clear"/>
            <w:vAlign w:val="center"/>
          </w:tcPr>
          <w:p>
            <w:pPr>
              <w:pStyle w:val="TableContents"/>
              <w:bidi w:val="0"/>
              <w:spacing w:before="0" w:after="283"/>
              <w:jc w:val="left"/>
              <w:rPr/>
            </w:pPr>
            <w:r>
              <w:rPr/>
              <w:t> </w:t>
            </w:r>
          </w:p>
        </w:tc>
        <w:tc>
          <w:tcPr>
            <w:tcW w:w="104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200%</w:t>
            </w:r>
          </w:p>
        </w:tc>
      </w:tr>
      <w:tr>
        <w:trPr/>
        <w:tc>
          <w:tcPr>
            <w:tcW w:w="1665" w:type="dxa"/>
            <w:vMerge w:val="continue"/>
            <w:tcBorders>
              <w:bottom w:val="single" w:sz="6" w:space="0" w:color="000000"/>
            </w:tcBorders>
            <w:tcMar>
              <w:bottom w:w="60"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00" w:type="dxa"/>
            <w:gridSpan w:val="19"/>
            <w:tcBorders>
              <w:bottom w:val="single" w:sz="6" w:space="0" w:color="000000"/>
            </w:tcBorders>
            <w:tcMar>
              <w:bottom w:w="6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b/>
                <w:i/>
                <w:sz w:val="18"/>
              </w:rPr>
            </w:pPr>
            <w:r>
              <w:rPr>
                <w:rFonts w:ascii="ARIAL" w:hAnsi="ARIAL"/>
                <w:b/>
                <w:i/>
                <w:sz w:val="18"/>
              </w:rPr>
              <w:t>Free Cash Flow Productivity Total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i/>
                <w:sz w:val="18"/>
              </w:rPr>
            </w:pPr>
            <w:r>
              <w:rPr>
                <w:rFonts w:ascii="ARIAL" w:hAnsi="ARIAL"/>
                <w:b/>
                <w:i/>
                <w:sz w:val="18"/>
              </w:rPr>
              <w:t>200%</w:t>
            </w:r>
          </w:p>
        </w:tc>
      </w:tr>
      <w:tr>
        <w:trPr/>
        <w:tc>
          <w:tcPr>
            <w:tcW w:w="1665" w:type="dxa"/>
            <w:vMerge w:val="restart"/>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Annual  Adjusted EPS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55"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16.67%</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53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2023</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$.87</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025"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$1.10</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43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$1.27</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$.67</w:t>
            </w:r>
          </w:p>
        </w:tc>
        <w:tc>
          <w:tcPr>
            <w:tcW w:w="60" w:type="dxa"/>
            <w:tcBorders/>
            <w:shd w:fill="D5EBF6" w:val="clear"/>
            <w:vAlign w:val="center"/>
          </w:tcPr>
          <w:p>
            <w:pPr>
              <w:pStyle w:val="TableContents"/>
              <w:bidi w:val="0"/>
              <w:spacing w:before="0" w:after="283"/>
              <w:jc w:val="left"/>
              <w:rPr/>
            </w:pPr>
            <w:r>
              <w:rPr/>
              <w:t> </w:t>
            </w:r>
          </w:p>
        </w:tc>
        <w:tc>
          <w:tcPr>
            <w:tcW w:w="104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0%</w:t>
            </w:r>
          </w:p>
        </w:tc>
      </w:tr>
      <w:tr>
        <w:trPr/>
        <w:tc>
          <w:tcPr>
            <w:tcW w:w="16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&gt;0% growth</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8% growth</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15% growth</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 growth</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25%</w:t>
            </w:r>
          </w:p>
        </w:tc>
      </w:tr>
      <w:tr>
        <w:trPr/>
        <w:tc>
          <w:tcPr>
            <w:tcW w:w="16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55"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16.67%</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53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2025</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&gt;0% growth</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025"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8% growth</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43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15% growth</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(17)% growth</w:t>
            </w:r>
          </w:p>
        </w:tc>
        <w:tc>
          <w:tcPr>
            <w:tcW w:w="60" w:type="dxa"/>
            <w:tcBorders/>
            <w:shd w:fill="D5EBF6" w:val="clear"/>
            <w:vAlign w:val="center"/>
          </w:tcPr>
          <w:p>
            <w:pPr>
              <w:pStyle w:val="TableContents"/>
              <w:bidi w:val="0"/>
              <w:spacing w:before="0" w:after="283"/>
              <w:jc w:val="left"/>
              <w:rPr/>
            </w:pPr>
            <w:r>
              <w:rPr/>
              <w:t> </w:t>
            </w:r>
          </w:p>
        </w:tc>
        <w:tc>
          <w:tcPr>
            <w:tcW w:w="104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0%</w:t>
            </w:r>
          </w:p>
        </w:tc>
      </w:tr>
      <w:tr>
        <w:trPr/>
        <w:tc>
          <w:tcPr>
            <w:tcW w:w="16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00" w:type="dxa"/>
            <w:gridSpan w:val="19"/>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i/>
                <w:sz w:val="18"/>
              </w:rPr>
            </w:pPr>
            <w:r>
              <w:rPr>
                <w:rFonts w:ascii="ARIAL" w:hAnsi="ARIAL"/>
                <w:b/>
                <w:i/>
                <w:sz w:val="18"/>
              </w:rPr>
              <w:t>Annual Adjusted EPS Total</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i/>
                <w:sz w:val="18"/>
              </w:rPr>
            </w:pPr>
            <w:r>
              <w:rPr>
                <w:rFonts w:ascii="ARIAL" w:hAnsi="ARIAL"/>
                <w:b/>
                <w:i/>
                <w:sz w:val="18"/>
              </w:rPr>
              <w:t>8.3%</w:t>
            </w:r>
          </w:p>
        </w:tc>
      </w:tr>
      <w:tr>
        <w:trPr/>
        <w:tc>
          <w:tcPr>
            <w:tcW w:w="1665"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283"/>
              <w:jc w:val="left"/>
              <w:rPr/>
            </w:pPr>
            <w:r>
              <w:rPr/>
              <w:t> </w:t>
            </w:r>
          </w:p>
        </w:tc>
        <w:tc>
          <w:tcPr>
            <w:tcW w:w="7380" w:type="dxa"/>
            <w:gridSpan w:val="21"/>
            <w:tcBorders>
              <w:top w:val="single" w:sz="6" w:space="0" w:color="000000"/>
              <w:bottom w:val="single" w:sz="6" w:space="0" w:color="000000"/>
            </w:tcBorders>
            <w:shd w:fill="D5EBF6" w:val="clear"/>
            <w:tcMar>
              <w:top w:w="28" w:type="dxa"/>
              <w:bottom w:w="6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b/>
                <w:i/>
                <w:sz w:val="18"/>
              </w:rPr>
            </w:pPr>
            <w:r>
              <w:rPr>
                <w:rFonts w:ascii="ARIAL" w:hAnsi="ARIAL"/>
                <w:b/>
                <w:i/>
                <w:sz w:val="18"/>
              </w:rPr>
              <w:t>Performance Factor Excluding TSR Modifier</w:t>
            </w:r>
          </w:p>
        </w:tc>
        <w:tc>
          <w:tcPr>
            <w:tcW w:w="60" w:type="dxa"/>
            <w:tcBorders>
              <w:top w:val="single" w:sz="6" w:space="0" w:color="000000"/>
              <w:bottom w:val="single" w:sz="6" w:space="0" w:color="000000"/>
            </w:tcBorders>
            <w:shd w:fill="D5EBF6" w:val="clear"/>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tcBorders>
            <w:shd w:fill="D5EBF6" w:val="clear"/>
            <w:tcMar>
              <w:top w:w="28" w:type="dxa"/>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i/>
                <w:sz w:val="18"/>
              </w:rPr>
            </w:pPr>
            <w:r>
              <w:rPr>
                <w:rFonts w:ascii="ARIAL" w:hAnsi="ARIAL"/>
                <w:b/>
                <w:i/>
                <w:sz w:val="18"/>
              </w:rPr>
              <w:t>104.2%</w:t>
            </w:r>
          </w:p>
        </w:tc>
      </w:tr>
      <w:tr>
        <w:trPr/>
        <w:tc>
          <w:tcPr>
            <w:tcW w:w="1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80" w:type="dxa"/>
            <w:gridSpan w:val="21"/>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i/>
                <w:sz w:val="18"/>
              </w:rPr>
            </w:pPr>
            <w:r>
              <w:rPr>
                <w:rFonts w:ascii="ARIAL" w:hAnsi="ARIAL"/>
                <w:b/>
                <w:i/>
                <w:sz w:val="18"/>
              </w:rPr>
              <w:t>TSR Modifier</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i/>
                <w:sz w:val="18"/>
              </w:rPr>
            </w:pPr>
            <w:r>
              <w:rPr>
                <w:rFonts w:ascii="ARIAL" w:hAnsi="ARIAL"/>
                <w:b/>
                <w:i/>
                <w:sz w:val="18"/>
              </w:rPr>
              <w:t>90%</w:t>
            </w:r>
          </w:p>
        </w:tc>
      </w:tr>
      <w:tr>
        <w:trPr/>
        <w:tc>
          <w:tcPr>
            <w:tcW w:w="1665"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380" w:type="dxa"/>
            <w:gridSpan w:val="21"/>
            <w:tcBorders/>
            <w:shd w:fill="D5EBF6" w:val="clear"/>
            <w:vAlign w:val="center"/>
          </w:tcPr>
          <w:p>
            <w:pPr>
              <w:pStyle w:val="TableContents"/>
              <w:bidi w:val="0"/>
              <w:spacing w:before="0" w:after="0"/>
              <w:jc w:val="left"/>
              <w:rPr/>
            </w:pPr>
            <w:r>
              <w:rPr/>
              <w:t> </w:t>
            </w:r>
          </w:p>
          <w:p>
            <w:pPr>
              <w:pStyle w:val="TableContents"/>
              <w:bidi w:val="0"/>
              <w:spacing w:before="0" w:after="20"/>
              <w:jc w:val="right"/>
              <w:rPr>
                <w:rFonts w:ascii="ARIAL" w:hAnsi="ARIAL"/>
                <w:b/>
                <w:i/>
                <w:sz w:val="18"/>
              </w:rPr>
            </w:pPr>
            <w:r>
              <w:rPr>
                <w:rFonts w:ascii="ARIAL" w:hAnsi="ARIAL"/>
                <w:b/>
                <w:i/>
                <w:sz w:val="18"/>
              </w:rPr>
              <w:t>Performance Factor Including TSR Modifier</w:t>
            </w:r>
          </w:p>
        </w:tc>
        <w:tc>
          <w:tcPr>
            <w:tcW w:w="60" w:type="dxa"/>
            <w:tcBorders/>
            <w:shd w:fill="D5EBF6" w:val="clear"/>
            <w:vAlign w:val="center"/>
          </w:tcPr>
          <w:p>
            <w:pPr>
              <w:pStyle w:val="TableContents"/>
              <w:bidi w:val="0"/>
              <w:spacing w:before="0" w:after="283"/>
              <w:jc w:val="left"/>
              <w:rPr/>
            </w:pPr>
            <w:r>
              <w:rPr/>
              <w:t> </w:t>
            </w:r>
          </w:p>
        </w:tc>
        <w:tc>
          <w:tcPr>
            <w:tcW w:w="1040" w:type="dxa"/>
            <w:tcBorders/>
            <w:shd w:fill="D5EBF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i/>
                <w:sz w:val="18"/>
              </w:rPr>
            </w:pPr>
            <w:r>
              <w:rPr>
                <w:rFonts w:ascii="ARIAL" w:hAnsi="ARIAL"/>
                <w:b/>
                <w:i/>
                <w:sz w:val="18"/>
              </w:rPr>
              <w:t>93.8%</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 xml:space="preserve">The Performance Factor earned for the Company’s free cash flow productivity and annual adjusted EPS performance under the PRSUs granted the 2023 LTIP, as shown above, was 104.2%. The Company’s relative TSR for the three-year performance period placed it 14th of fifteen TSR comparators, including the Company, resulting in a 10% reduction to the total Performance Factor. As a result, the 2023 LTIP PRSU awards granted to Messrs. Peterson, Erceg and Turner and to Ms. Malkoski (of 341,598, 120,805, 69,211 and 57,406 PRSUs at target, respectively) were earned or will be earned at 93.8% upon vesting in 2026. </w:t>
      </w:r>
    </w:p>
    <w:p>
      <w:pPr>
        <w:pStyle w:val="TextBody"/>
        <w:bidi w:val="0"/>
        <w:spacing w:before="240" w:after="0"/>
        <w:jc w:val="both"/>
        <w:rPr>
          <w:rFonts w:ascii="ARIAL" w:hAnsi="ARIAL"/>
          <w:sz w:val="22"/>
        </w:rPr>
      </w:pPr>
      <w:r>
        <w:rPr>
          <w:rFonts w:ascii="ARIAL" w:hAnsi="ARIAL"/>
          <w:sz w:val="22"/>
        </w:rPr>
        <w:t xml:space="preserve">Holders of RSUs, including LTIP awards and any additional awards described below, do not receive dividend equivalents at the time dividends are paid. Rather, all such dividend equivalents will be accrued and paid only at the time and to the extent that the RSUs actually vest. </w:t>
      </w:r>
    </w:p>
    <w:p>
      <w:pPr>
        <w:pStyle w:val="TextBody"/>
        <w:bidi w:val="0"/>
        <w:spacing w:before="360" w:after="0"/>
        <w:jc w:val="left"/>
        <w:rPr>
          <w:rFonts w:ascii="ARIAL" w:hAnsi="ARIAL"/>
          <w:b/>
          <w:i/>
          <w:color w:val="248EC3"/>
          <w:sz w:val="22"/>
        </w:rPr>
      </w:pPr>
      <w:r>
        <w:rPr>
          <w:rFonts w:ascii="ARIAL" w:hAnsi="ARIAL"/>
          <w:b/>
          <w:i/>
          <w:color w:val="248EC3"/>
          <w:sz w:val="22"/>
        </w:rPr>
        <w:t xml:space="preserve">Prior Year Special Awards </w:t>
      </w:r>
    </w:p>
    <w:p>
      <w:pPr>
        <w:pStyle w:val="TextBody"/>
        <w:bidi w:val="0"/>
        <w:spacing w:before="240" w:after="0"/>
        <w:jc w:val="left"/>
        <w:rPr>
          <w:rFonts w:ascii="ARIAL" w:hAnsi="ARIAL"/>
          <w:sz w:val="22"/>
        </w:rPr>
      </w:pPr>
      <w:r>
        <w:rPr>
          <w:rFonts w:ascii="ARIAL" w:hAnsi="ARIAL"/>
          <w:i/>
          <w:sz w:val="22"/>
          <w:u w:val="single"/>
        </w:rPr>
        <w:t>2023 Special Incentive Program (the “</w:t>
      </w:r>
      <w:r>
        <w:rPr>
          <w:rFonts w:ascii="ARIAL" w:hAnsi="ARIAL"/>
          <w:b/>
          <w:i/>
          <w:sz w:val="22"/>
          <w:u w:val="single"/>
        </w:rPr>
        <w:t>SIP</w:t>
      </w:r>
      <w:r>
        <w:rPr>
          <w:rFonts w:ascii="ARIAL" w:hAnsi="ARIAL"/>
          <w:sz w:val="22"/>
          <w:u w:val="single"/>
        </w:rPr>
        <w:t>”</w:t>
      </w:r>
      <w:r>
        <w:rPr>
          <w:rFonts w:ascii="ARIAL" w:hAnsi="ARIAL"/>
          <w:i/>
          <w:sz w:val="22"/>
          <w:u w:val="single"/>
        </w:rPr>
        <w:t xml:space="preserve">) </w:t>
      </w:r>
    </w:p>
    <w:p>
      <w:pPr>
        <w:pStyle w:val="TextBody"/>
        <w:bidi w:val="0"/>
        <w:spacing w:before="240" w:after="0"/>
        <w:jc w:val="both"/>
        <w:rPr>
          <w:rFonts w:ascii="ARIAL" w:hAnsi="ARIAL"/>
          <w:sz w:val="22"/>
        </w:rPr>
      </w:pPr>
      <w:r>
        <w:rPr>
          <w:rFonts w:ascii="ARIAL" w:hAnsi="ARIAL"/>
          <w:sz w:val="22"/>
        </w:rPr>
        <w:t xml:space="preserve">Given the difficult macroeconomic environment, significant decline in the Company’s stock price, high executive retention concerns and the CEO transition occurring in the first half of 2023, the Committee adopted the SIP in May 2023, as disclosed in a Current Report filed with the SEC on Form 8-K on May 19, 2023.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The SIP awards for Messrs. Peterson and Erceg consisted entirely of PRSUs (1,724,137 and 827,586 PRSUs at target, respectively), which vested on February 27, 2026 and were subject to the achievement of the applicable performance goals and continued employment. The potential Performance Factor under these PRSUs to Messrs. Peterson and Erceg ranged from 0% to 200% of the target, depending upon achievement of equally weighted performance goals for free cash flow productivity(1) achieved in 2024 and 2025 and gross margin improvement in 2025 relative to 2023. Gross margin improvement represents the Company’s adjusted gross margin(2) for the year 2025 minus the Company’s adjusted gross margin for 2023.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both"/>
              <w:rPr>
                <w:rFonts w:ascii="ARIAL" w:hAnsi="ARIAL"/>
                <w:sz w:val="18"/>
              </w:rPr>
            </w:pPr>
            <w:r>
              <w:rPr>
                <w:rFonts w:ascii="ARIAL" w:hAnsi="ARIAL"/>
                <w:sz w:val="18"/>
              </w:rPr>
              <w:t xml:space="preserve">For purposes of the SIP, “free cash flow productivity” is defined as free cash flow divided by adjusted net income for the relevant period, expressed as a percentage. “Free cash flow” is the Company’s reported operating cash flow as determined in accordance with GAAP, less capital expenditures, and “adjusted net income” is the Company’s reported net income as determined in accordance with GAAP, in each case excluding the impact of impairment charges; gains, losses and tax payments associated with the divestiture of a business unit or line of business; non-cash discrete tax charges and benefits; and the impact of other items significantly affecting the calculation of free cash flow productivity that are not indicative of the Company’s core operating results for the relevant period and affect the comparability of underlying results from period to period, as determined by the Committee, which for the SIP awards consisted of hyperinflationary currency movements, costs related to the refinancing of pending bond maturities in 2024 and 2025 and certain divestiture related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0"/>
              <w:jc w:val="both"/>
              <w:rPr>
                <w:rFonts w:ascii="ARIAL" w:hAnsi="ARIAL"/>
                <w:sz w:val="18"/>
              </w:rPr>
            </w:pPr>
            <w:r>
              <w:rPr>
                <w:rFonts w:ascii="ARIAL" w:hAnsi="ARIAL"/>
                <w:sz w:val="18"/>
              </w:rPr>
              <w:t xml:space="preserve">For purposes of the SIP, “adjusted gross margin” is defined as the Company’s reported gross margin percentage, excluding Normalized Adjustments.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 xml:space="preserve">In February 2026, the Committee approved and certified the Company’s performance and earned Performance Factor against each of the PRSU metrics for the SIP awards to Mr. Peterson and Mr. Erceg, as summarized below: </w:t>
      </w:r>
    </w:p>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1700"/>
        <w:gridCol w:w="60"/>
        <w:gridCol w:w="141"/>
        <w:gridCol w:w="614"/>
        <w:gridCol w:w="60"/>
        <w:gridCol w:w="60"/>
        <w:gridCol w:w="60"/>
        <w:gridCol w:w="575"/>
        <w:gridCol w:w="60"/>
        <w:gridCol w:w="60"/>
        <w:gridCol w:w="76"/>
        <w:gridCol w:w="1024"/>
        <w:gridCol w:w="60"/>
        <w:gridCol w:w="60"/>
        <w:gridCol w:w="83"/>
        <w:gridCol w:w="1257"/>
        <w:gridCol w:w="60"/>
        <w:gridCol w:w="60"/>
        <w:gridCol w:w="88"/>
        <w:gridCol w:w="1342"/>
        <w:gridCol w:w="60"/>
        <w:gridCol w:w="60"/>
        <w:gridCol w:w="83"/>
        <w:gridCol w:w="1257"/>
        <w:gridCol w:w="60"/>
        <w:gridCol w:w="60"/>
        <w:gridCol w:w="107"/>
        <w:gridCol w:w="678"/>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bottom w:val="single" w:sz="6"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Performance Goals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Weight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Minimum</w:t>
              <w:br/>
              <w:t>Threshold</w:t>
              <w:br/>
              <w:t>for Payout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Target for</w:t>
              <w:br/>
              <w:t>Performance</w:t>
              <w:br/>
              <w:t>Factor</w:t>
              <w:br/>
              <w:t>at 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Performance</w:t>
              <w:br/>
              <w:t>for Maximum</w:t>
              <w:br/>
              <w:t>Performance</w:t>
              <w:br/>
              <w:t>Factor</w:t>
              <w:br/>
              <w:t>(200%)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Actual</w:t>
              <w:br/>
              <w:t>Performance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Actual</w:t>
              <w:br/>
              <w:t>Earned</w:t>
              <w:br/>
              <w:t>as %</w:t>
              <w:br/>
              <w:t>of</w:t>
              <w:br/>
              <w:t>Target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0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p>
          <w:p>
            <w:pPr>
              <w:pStyle w:val="TableContents"/>
              <w:bidi w:val="0"/>
              <w:spacing w:before="0" w:after="20"/>
              <w:jc w:val="both"/>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tcMar>
              <w:bottom w:w="28" w:type="dxa"/>
            </w:tcMar>
            <w:vAlign w:val="center"/>
          </w:tcPr>
          <w:p>
            <w:pPr>
              <w:pStyle w:val="TableContents"/>
              <w:bidi w:val="0"/>
              <w:spacing w:before="0" w:after="283"/>
              <w:jc w:val="left"/>
              <w:rPr/>
            </w:pPr>
            <w:r>
              <w:rPr/>
              <w:t> </w:t>
            </w:r>
          </w:p>
        </w:tc>
        <w:tc>
          <w:tcPr>
            <w:tcW w:w="614"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c>
          <w:tcPr>
            <w:tcW w:w="1024"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3" w:type="dxa"/>
            <w:tcBorders>
              <w:bottom w:val="single" w:sz="6" w:space="0" w:color="000000"/>
            </w:tcBorders>
            <w:tcMar>
              <w:bottom w:w="28" w:type="dxa"/>
            </w:tcMar>
            <w:vAlign w:val="center"/>
          </w:tcPr>
          <w:p>
            <w:pPr>
              <w:pStyle w:val="TableContents"/>
              <w:bidi w:val="0"/>
              <w:spacing w:before="0" w:after="283"/>
              <w:jc w:val="left"/>
              <w:rPr/>
            </w:pPr>
            <w:r>
              <w:rPr/>
              <w:t> </w:t>
            </w:r>
          </w:p>
        </w:tc>
        <w:tc>
          <w:tcPr>
            <w:tcW w:w="1257"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8" w:type="dxa"/>
            <w:tcBorders>
              <w:bottom w:val="single" w:sz="6" w:space="0" w:color="000000"/>
            </w:tcBorders>
            <w:tcMar>
              <w:bottom w:w="28" w:type="dxa"/>
            </w:tcMar>
            <w:vAlign w:val="center"/>
          </w:tcPr>
          <w:p>
            <w:pPr>
              <w:pStyle w:val="TableContents"/>
              <w:bidi w:val="0"/>
              <w:spacing w:before="0" w:after="283"/>
              <w:jc w:val="left"/>
              <w:rPr/>
            </w:pPr>
            <w:r>
              <w:rPr/>
              <w:t> </w:t>
            </w:r>
          </w:p>
        </w:tc>
        <w:tc>
          <w:tcPr>
            <w:tcW w:w="1342"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3" w:type="dxa"/>
            <w:tcBorders>
              <w:bottom w:val="single" w:sz="6" w:space="0" w:color="000000"/>
            </w:tcBorders>
            <w:tcMar>
              <w:bottom w:w="28" w:type="dxa"/>
            </w:tcMar>
            <w:vAlign w:val="center"/>
          </w:tcPr>
          <w:p>
            <w:pPr>
              <w:pStyle w:val="TableContents"/>
              <w:bidi w:val="0"/>
              <w:spacing w:before="0" w:after="283"/>
              <w:jc w:val="left"/>
              <w:rPr/>
            </w:pPr>
            <w:r>
              <w:rPr/>
              <w:t> </w:t>
            </w:r>
          </w:p>
        </w:tc>
        <w:tc>
          <w:tcPr>
            <w:tcW w:w="1257"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 w:type="dxa"/>
            <w:tcBorders>
              <w:bottom w:val="single" w:sz="6" w:space="0" w:color="000000"/>
            </w:tcBorders>
            <w:tcMar>
              <w:bottom w:w="28" w:type="dxa"/>
            </w:tcMar>
            <w:vAlign w:val="center"/>
          </w:tcPr>
          <w:p>
            <w:pPr>
              <w:pStyle w:val="TableContents"/>
              <w:bidi w:val="0"/>
              <w:spacing w:before="0" w:after="283"/>
              <w:jc w:val="left"/>
              <w:rPr/>
            </w:pPr>
            <w:r>
              <w:rPr/>
              <w:t> </w:t>
            </w:r>
          </w:p>
        </w:tc>
        <w:tc>
          <w:tcPr>
            <w:tcW w:w="678"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00" w:type="dxa"/>
            <w:tcBorders/>
            <w:shd w:fill="D5EBF6" w:val="clear"/>
            <w:vAlign w:val="center"/>
          </w:tcPr>
          <w:p>
            <w:pPr>
              <w:pStyle w:val="TableContents"/>
              <w:bidi w:val="0"/>
              <w:spacing w:before="0" w:after="283"/>
              <w:jc w:val="left"/>
              <w:rPr>
                <w:sz w:val="4"/>
                <w:szCs w:val="4"/>
              </w:rPr>
            </w:pPr>
            <w:r>
              <w:rPr>
                <w:sz w:val="4"/>
                <w:szCs w:val="4"/>
              </w:rPr>
            </w:r>
          </w:p>
        </w:tc>
        <w:tc>
          <w:tcPr>
            <w:tcW w:w="875" w:type="dxa"/>
            <w:gridSpan w:val="4"/>
            <w:tcBorders/>
            <w:shd w:fill="D5EBF6" w:val="clear"/>
            <w:vAlign w:val="center"/>
          </w:tcPr>
          <w:p>
            <w:pPr>
              <w:pStyle w:val="TableContents"/>
              <w:bidi w:val="0"/>
              <w:spacing w:before="0" w:after="283"/>
              <w:jc w:val="left"/>
              <w:rPr>
                <w:sz w:val="4"/>
                <w:szCs w:val="4"/>
              </w:rPr>
            </w:pPr>
            <w:r>
              <w:rPr>
                <w:sz w:val="4"/>
                <w:szCs w:val="4"/>
              </w:rPr>
            </w:r>
          </w:p>
        </w:tc>
        <w:tc>
          <w:tcPr>
            <w:tcW w:w="755" w:type="dxa"/>
            <w:gridSpan w:val="4"/>
            <w:tcBorders/>
            <w:shd w:fill="D5EBF6" w:val="clear"/>
            <w:vAlign w:val="center"/>
          </w:tcPr>
          <w:p>
            <w:pPr>
              <w:pStyle w:val="TableContents"/>
              <w:bidi w:val="0"/>
              <w:spacing w:before="0" w:after="283"/>
              <w:jc w:val="left"/>
              <w:rPr>
                <w:sz w:val="4"/>
                <w:szCs w:val="4"/>
              </w:rPr>
            </w:pPr>
            <w:r>
              <w:rPr>
                <w:sz w:val="4"/>
                <w:szCs w:val="4"/>
              </w:rPr>
            </w:r>
          </w:p>
        </w:tc>
        <w:tc>
          <w:tcPr>
            <w:tcW w:w="1220" w:type="dxa"/>
            <w:gridSpan w:val="4"/>
            <w:tcBorders/>
            <w:shd w:fill="D5EBF6" w:val="clear"/>
            <w:vAlign w:val="center"/>
          </w:tcPr>
          <w:p>
            <w:pPr>
              <w:pStyle w:val="TableContents"/>
              <w:bidi w:val="0"/>
              <w:spacing w:before="0" w:after="283"/>
              <w:jc w:val="left"/>
              <w:rPr>
                <w:sz w:val="4"/>
                <w:szCs w:val="4"/>
              </w:rPr>
            </w:pPr>
            <w:r>
              <w:rPr>
                <w:sz w:val="4"/>
                <w:szCs w:val="4"/>
              </w:rPr>
            </w:r>
          </w:p>
        </w:tc>
        <w:tc>
          <w:tcPr>
            <w:tcW w:w="1460" w:type="dxa"/>
            <w:gridSpan w:val="4"/>
            <w:tcBorders/>
            <w:shd w:fill="D5EBF6" w:val="clear"/>
            <w:vAlign w:val="center"/>
          </w:tcPr>
          <w:p>
            <w:pPr>
              <w:pStyle w:val="TableContents"/>
              <w:bidi w:val="0"/>
              <w:spacing w:before="0" w:after="283"/>
              <w:jc w:val="left"/>
              <w:rPr>
                <w:sz w:val="4"/>
                <w:szCs w:val="4"/>
              </w:rPr>
            </w:pPr>
            <w:r>
              <w:rPr>
                <w:sz w:val="4"/>
                <w:szCs w:val="4"/>
              </w:rPr>
            </w:r>
          </w:p>
        </w:tc>
        <w:tc>
          <w:tcPr>
            <w:tcW w:w="1550" w:type="dxa"/>
            <w:gridSpan w:val="4"/>
            <w:tcBorders/>
            <w:shd w:fill="D5EBF6" w:val="clear"/>
            <w:vAlign w:val="center"/>
          </w:tcPr>
          <w:p>
            <w:pPr>
              <w:pStyle w:val="TableContents"/>
              <w:bidi w:val="0"/>
              <w:spacing w:before="0" w:after="283"/>
              <w:jc w:val="left"/>
              <w:rPr>
                <w:sz w:val="4"/>
                <w:szCs w:val="4"/>
              </w:rPr>
            </w:pPr>
            <w:r>
              <w:rPr>
                <w:sz w:val="4"/>
                <w:szCs w:val="4"/>
              </w:rPr>
            </w:r>
          </w:p>
        </w:tc>
        <w:tc>
          <w:tcPr>
            <w:tcW w:w="1460" w:type="dxa"/>
            <w:gridSpan w:val="4"/>
            <w:tcBorders/>
            <w:shd w:fill="D5EBF6" w:val="clear"/>
            <w:vAlign w:val="center"/>
          </w:tcPr>
          <w:p>
            <w:pPr>
              <w:pStyle w:val="TableContents"/>
              <w:bidi w:val="0"/>
              <w:spacing w:before="0" w:after="283"/>
              <w:jc w:val="left"/>
              <w:rPr>
                <w:sz w:val="4"/>
                <w:szCs w:val="4"/>
              </w:rPr>
            </w:pPr>
            <w:r>
              <w:rPr>
                <w:sz w:val="4"/>
                <w:szCs w:val="4"/>
              </w:rPr>
            </w:r>
          </w:p>
        </w:tc>
        <w:tc>
          <w:tcPr>
            <w:tcW w:w="92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700" w:type="dxa"/>
            <w:tcBorders/>
            <w:shd w:fill="D5EBF6" w:val="clear"/>
            <w:vAlign w:val="center"/>
          </w:tcPr>
          <w:p>
            <w:pPr>
              <w:pStyle w:val="TableContents"/>
              <w:bidi w:val="0"/>
              <w:spacing w:before="0" w:after="0"/>
              <w:jc w:val="left"/>
              <w:rPr>
                <w:rFonts w:ascii="ARIAL" w:hAnsi="ARIAL"/>
                <w:sz w:val="18"/>
              </w:rPr>
            </w:pPr>
            <w:r>
              <w:rPr>
                <w:rFonts w:ascii="ARIAL" w:hAnsi="ARIAL"/>
                <w:sz w:val="18"/>
              </w:rPr>
              <w:t>Gross Margin</w:t>
            </w:r>
          </w:p>
          <w:p>
            <w:pPr>
              <w:pStyle w:val="TableContents"/>
              <w:bidi w:val="0"/>
              <w:spacing w:before="0" w:after="20"/>
              <w:jc w:val="left"/>
              <w:rPr>
                <w:rFonts w:ascii="ARIAL" w:hAnsi="ARIAL"/>
                <w:sz w:val="18"/>
              </w:rPr>
            </w:pPr>
            <w:r>
              <w:rPr>
                <w:rFonts w:ascii="ARIAL" w:hAnsi="ARIAL"/>
                <w:sz w:val="18"/>
              </w:rPr>
              <w:t>Improvement</w:t>
            </w:r>
          </w:p>
        </w:tc>
        <w:tc>
          <w:tcPr>
            <w:tcW w:w="60" w:type="dxa"/>
            <w:tcBorders/>
            <w:shd w:fill="D5EBF6" w:val="clear"/>
            <w:vAlign w:val="center"/>
          </w:tcPr>
          <w:p>
            <w:pPr>
              <w:pStyle w:val="TableContents"/>
              <w:bidi w:val="0"/>
              <w:spacing w:before="0" w:after="283"/>
              <w:jc w:val="left"/>
              <w:rPr/>
            </w:pPr>
            <w:r>
              <w:rPr/>
              <w:t> </w:t>
            </w:r>
          </w:p>
        </w:tc>
        <w:tc>
          <w:tcPr>
            <w:tcW w:w="141" w:type="dxa"/>
            <w:tcBorders/>
            <w:shd w:fill="D5EBF6" w:val="clear"/>
            <w:vAlign w:val="center"/>
          </w:tcPr>
          <w:p>
            <w:pPr>
              <w:pStyle w:val="TableContents"/>
              <w:bidi w:val="0"/>
              <w:spacing w:before="0" w:after="283"/>
              <w:jc w:val="left"/>
              <w:rPr/>
            </w:pPr>
            <w:r>
              <w:rPr/>
              <w:t> </w:t>
            </w:r>
          </w:p>
        </w:tc>
        <w:tc>
          <w:tcPr>
            <w:tcW w:w="614" w:type="dxa"/>
            <w:tcBorders/>
            <w:shd w:fill="D5EBF6" w:val="clear"/>
            <w:vAlign w:val="center"/>
          </w:tcPr>
          <w:p>
            <w:pPr>
              <w:pStyle w:val="TableContents"/>
              <w:bidi w:val="0"/>
              <w:spacing w:before="0" w:after="283"/>
              <w:jc w:val="center"/>
              <w:rPr/>
            </w:pPr>
            <w:r>
              <w:rPr/>
              <w:t>50%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575" w:type="dxa"/>
            <w:tcBorders/>
            <w:shd w:fill="D5EBF6" w:val="clear"/>
            <w:vAlign w:val="center"/>
          </w:tcPr>
          <w:p>
            <w:pPr>
              <w:pStyle w:val="TableContents"/>
              <w:bidi w:val="0"/>
              <w:spacing w:before="0" w:after="283"/>
              <w:jc w:val="center"/>
              <w:rPr/>
            </w:pPr>
            <w:r>
              <w:rPr/>
              <w:t>2025</w:t>
              <w:br/>
              <w:t>vs</w:t>
              <w:br/>
              <w:t>2023</w:t>
            </w:r>
          </w:p>
        </w:tc>
        <w:tc>
          <w:tcPr>
            <w:tcW w:w="60" w:type="dxa"/>
            <w:tcBorders/>
            <w:shd w:fill="D5EBF6" w:val="clear"/>
            <w:vAlign w:val="center"/>
          </w:tcPr>
          <w:p>
            <w:pPr>
              <w:pStyle w:val="TableContents"/>
              <w:bidi w:val="0"/>
              <w:spacing w:before="0" w:after="283"/>
              <w:jc w:val="left"/>
              <w:rPr/>
            </w:pPr>
            <w:r>
              <w:rPr/>
              <w:t> </w:t>
            </w:r>
            <w:r>
              <w:rPr/>
              <w:br/>
              <w:t> </w:t>
              <w:b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024" w:type="dxa"/>
            <w:tcBorders/>
            <w:shd w:fill="D5EBF6" w:val="clear"/>
            <w:vAlign w:val="center"/>
          </w:tcPr>
          <w:p>
            <w:pPr>
              <w:pStyle w:val="TableContents"/>
              <w:bidi w:val="0"/>
              <w:spacing w:before="0" w:after="283"/>
              <w:jc w:val="center"/>
              <w:rPr/>
            </w:pPr>
            <w:r>
              <w:rPr/>
              <w:t>&gt;0 basis</w:t>
              <w:br/>
              <w:t>points</w:t>
            </w:r>
          </w:p>
        </w:tc>
        <w:tc>
          <w:tcPr>
            <w:tcW w:w="60" w:type="dxa"/>
            <w:tcBorders/>
            <w:shd w:fill="D5EBF6" w:val="clear"/>
            <w:vAlign w:val="center"/>
          </w:tcPr>
          <w:p>
            <w:pPr>
              <w:pStyle w:val="TableContents"/>
              <w:bidi w:val="0"/>
              <w:spacing w:before="0" w:after="283"/>
              <w:jc w:val="left"/>
              <w:rPr/>
            </w:pPr>
            <w:r>
              <w:rPr/>
              <w:t> </w:t>
            </w:r>
            <w:r>
              <w:rPr/>
              <w:br/>
              <w:t> </w:t>
            </w:r>
          </w:p>
        </w:tc>
        <w:tc>
          <w:tcPr>
            <w:tcW w:w="60" w:type="dxa"/>
            <w:tcBorders/>
            <w:shd w:fill="D5EBF6" w:val="clear"/>
            <w:vAlign w:val="center"/>
          </w:tcPr>
          <w:p>
            <w:pPr>
              <w:pStyle w:val="TableContents"/>
              <w:bidi w:val="0"/>
              <w:spacing w:before="0" w:after="283"/>
              <w:jc w:val="left"/>
              <w:rPr/>
            </w:pPr>
            <w:r>
              <w:rPr/>
              <w:t> </w:t>
            </w:r>
          </w:p>
        </w:tc>
        <w:tc>
          <w:tcPr>
            <w:tcW w:w="83" w:type="dxa"/>
            <w:tcBorders/>
            <w:shd w:fill="D5EBF6" w:val="clear"/>
            <w:vAlign w:val="center"/>
          </w:tcPr>
          <w:p>
            <w:pPr>
              <w:pStyle w:val="TableContents"/>
              <w:bidi w:val="0"/>
              <w:spacing w:before="0" w:after="283"/>
              <w:jc w:val="left"/>
              <w:rPr/>
            </w:pPr>
            <w:r>
              <w:rPr/>
              <w:t> </w:t>
            </w:r>
          </w:p>
        </w:tc>
        <w:tc>
          <w:tcPr>
            <w:tcW w:w="1257" w:type="dxa"/>
            <w:tcBorders/>
            <w:shd w:fill="D5EBF6" w:val="clear"/>
            <w:vAlign w:val="center"/>
          </w:tcPr>
          <w:p>
            <w:pPr>
              <w:pStyle w:val="TableContents"/>
              <w:bidi w:val="0"/>
              <w:spacing w:before="0" w:after="283"/>
              <w:jc w:val="center"/>
              <w:rPr/>
            </w:pPr>
            <w:r>
              <w:rPr/>
              <w:t>200 basis</w:t>
              <w:br/>
              <w:t>points</w:t>
            </w:r>
          </w:p>
        </w:tc>
        <w:tc>
          <w:tcPr>
            <w:tcW w:w="60" w:type="dxa"/>
            <w:tcBorders/>
            <w:shd w:fill="D5EBF6" w:val="clear"/>
            <w:vAlign w:val="center"/>
          </w:tcPr>
          <w:p>
            <w:pPr>
              <w:pStyle w:val="TableContents"/>
              <w:bidi w:val="0"/>
              <w:spacing w:before="0" w:after="283"/>
              <w:jc w:val="left"/>
              <w:rPr/>
            </w:pPr>
            <w:r>
              <w:rPr/>
              <w:t> </w:t>
            </w:r>
            <w:r>
              <w:rPr/>
              <w:br/>
              <w:t> </w:t>
            </w:r>
          </w:p>
        </w:tc>
        <w:tc>
          <w:tcPr>
            <w:tcW w:w="60" w:type="dxa"/>
            <w:tcBorders/>
            <w:shd w:fill="D5EBF6" w:val="clear"/>
            <w:vAlign w:val="center"/>
          </w:tcPr>
          <w:p>
            <w:pPr>
              <w:pStyle w:val="TableContents"/>
              <w:bidi w:val="0"/>
              <w:spacing w:before="0" w:after="283"/>
              <w:jc w:val="left"/>
              <w:rPr/>
            </w:pPr>
            <w:r>
              <w:rPr/>
              <w:t> </w:t>
            </w:r>
          </w:p>
        </w:tc>
        <w:tc>
          <w:tcPr>
            <w:tcW w:w="88" w:type="dxa"/>
            <w:tcBorders/>
            <w:shd w:fill="D5EBF6" w:val="clear"/>
            <w:vAlign w:val="center"/>
          </w:tcPr>
          <w:p>
            <w:pPr>
              <w:pStyle w:val="TableContents"/>
              <w:bidi w:val="0"/>
              <w:spacing w:before="0" w:after="283"/>
              <w:jc w:val="left"/>
              <w:rPr/>
            </w:pPr>
            <w:r>
              <w:rPr/>
              <w:t> </w:t>
            </w:r>
          </w:p>
        </w:tc>
        <w:tc>
          <w:tcPr>
            <w:tcW w:w="1342" w:type="dxa"/>
            <w:tcBorders/>
            <w:shd w:fill="D5EBF6" w:val="clear"/>
            <w:vAlign w:val="center"/>
          </w:tcPr>
          <w:p>
            <w:pPr>
              <w:pStyle w:val="TableContents"/>
              <w:bidi w:val="0"/>
              <w:spacing w:before="0" w:after="283"/>
              <w:jc w:val="center"/>
              <w:rPr/>
            </w:pPr>
            <w:r>
              <w:rPr/>
              <w:t>300 basis</w:t>
              <w:br/>
              <w:t>points</w:t>
            </w:r>
          </w:p>
        </w:tc>
        <w:tc>
          <w:tcPr>
            <w:tcW w:w="60" w:type="dxa"/>
            <w:tcBorders/>
            <w:shd w:fill="D5EBF6" w:val="clear"/>
            <w:vAlign w:val="center"/>
          </w:tcPr>
          <w:p>
            <w:pPr>
              <w:pStyle w:val="TableContents"/>
              <w:bidi w:val="0"/>
              <w:spacing w:before="0" w:after="283"/>
              <w:jc w:val="left"/>
              <w:rPr/>
            </w:pPr>
            <w:r>
              <w:rPr/>
              <w:t> </w:t>
            </w:r>
            <w:r>
              <w:rPr/>
              <w:br/>
              <w:t> </w:t>
            </w:r>
          </w:p>
        </w:tc>
        <w:tc>
          <w:tcPr>
            <w:tcW w:w="60" w:type="dxa"/>
            <w:tcBorders/>
            <w:shd w:fill="D5EBF6" w:val="clear"/>
            <w:vAlign w:val="center"/>
          </w:tcPr>
          <w:p>
            <w:pPr>
              <w:pStyle w:val="TableContents"/>
              <w:bidi w:val="0"/>
              <w:spacing w:before="0" w:after="283"/>
              <w:jc w:val="left"/>
              <w:rPr/>
            </w:pPr>
            <w:r>
              <w:rPr/>
              <w:t> </w:t>
            </w:r>
          </w:p>
        </w:tc>
        <w:tc>
          <w:tcPr>
            <w:tcW w:w="83" w:type="dxa"/>
            <w:tcBorders/>
            <w:shd w:fill="D5EBF6" w:val="clear"/>
            <w:vAlign w:val="center"/>
          </w:tcPr>
          <w:p>
            <w:pPr>
              <w:pStyle w:val="TableContents"/>
              <w:bidi w:val="0"/>
              <w:spacing w:before="0" w:after="283"/>
              <w:jc w:val="left"/>
              <w:rPr/>
            </w:pPr>
            <w:r>
              <w:rPr/>
              <w:t> </w:t>
            </w:r>
          </w:p>
        </w:tc>
        <w:tc>
          <w:tcPr>
            <w:tcW w:w="1257" w:type="dxa"/>
            <w:tcBorders/>
            <w:shd w:fill="D5EBF6" w:val="clear"/>
            <w:vAlign w:val="center"/>
          </w:tcPr>
          <w:p>
            <w:pPr>
              <w:pStyle w:val="TableContents"/>
              <w:bidi w:val="0"/>
              <w:spacing w:before="0" w:after="283"/>
              <w:jc w:val="center"/>
              <w:rPr/>
            </w:pPr>
            <w:r>
              <w:rPr/>
              <w:t>470 basis</w:t>
              <w:br/>
              <w:t>points</w:t>
            </w:r>
          </w:p>
        </w:tc>
        <w:tc>
          <w:tcPr>
            <w:tcW w:w="60" w:type="dxa"/>
            <w:tcBorders/>
            <w:shd w:fill="D5EBF6" w:val="clear"/>
            <w:vAlign w:val="center"/>
          </w:tcPr>
          <w:p>
            <w:pPr>
              <w:pStyle w:val="TableContents"/>
              <w:bidi w:val="0"/>
              <w:spacing w:before="0" w:after="283"/>
              <w:jc w:val="left"/>
              <w:rPr/>
            </w:pPr>
            <w:r>
              <w:rPr/>
              <w:t> </w:t>
            </w:r>
            <w:r>
              <w:rPr/>
              <w:br/>
              <w:t> </w:t>
            </w:r>
          </w:p>
        </w:tc>
        <w:tc>
          <w:tcPr>
            <w:tcW w:w="60" w:type="dxa"/>
            <w:tcBorders/>
            <w:shd w:fill="D5EBF6" w:val="clear"/>
            <w:vAlign w:val="center"/>
          </w:tcPr>
          <w:p>
            <w:pPr>
              <w:pStyle w:val="TableContents"/>
              <w:bidi w:val="0"/>
              <w:spacing w:before="0" w:after="283"/>
              <w:jc w:val="left"/>
              <w:rPr/>
            </w:pPr>
            <w:r>
              <w:rPr/>
              <w:t> </w:t>
            </w:r>
          </w:p>
        </w:tc>
        <w:tc>
          <w:tcPr>
            <w:tcW w:w="107" w:type="dxa"/>
            <w:tcBorders/>
            <w:shd w:fill="D5EBF6" w:val="clear"/>
            <w:vAlign w:val="center"/>
          </w:tcPr>
          <w:p>
            <w:pPr>
              <w:pStyle w:val="TableContents"/>
              <w:bidi w:val="0"/>
              <w:spacing w:before="0" w:after="283"/>
              <w:jc w:val="left"/>
              <w:rPr/>
            </w:pPr>
            <w:r>
              <w:rPr/>
              <w:t> </w:t>
            </w:r>
          </w:p>
        </w:tc>
        <w:tc>
          <w:tcPr>
            <w:tcW w:w="678" w:type="dxa"/>
            <w:tcBorders/>
            <w:shd w:fill="D5EBF6" w:val="clear"/>
            <w:vAlign w:val="center"/>
          </w:tcPr>
          <w:p>
            <w:pPr>
              <w:pStyle w:val="TableContents"/>
              <w:bidi w:val="0"/>
              <w:spacing w:before="0" w:after="283"/>
              <w:jc w:val="center"/>
              <w:rPr/>
            </w:pPr>
            <w:r>
              <w:rPr/>
              <w:t>200%</w:t>
            </w:r>
          </w:p>
        </w:tc>
        <w:tc>
          <w:tcPr>
            <w:tcW w:w="75" w:type="dxa"/>
            <w:tcBorders/>
            <w:shd w:fill="D5EBF6"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left"/>
              <w:rPr>
                <w:rFonts w:ascii="ARIAL" w:hAnsi="ARIAL"/>
                <w:sz w:val="18"/>
              </w:rPr>
            </w:pPr>
            <w:r>
              <w:rPr>
                <w:rFonts w:ascii="ARIAL" w:hAnsi="ARIAL"/>
                <w:sz w:val="18"/>
              </w:rPr>
              <w:t>Free Cash Flow</w:t>
            </w:r>
          </w:p>
          <w:p>
            <w:pPr>
              <w:pStyle w:val="TableContents"/>
              <w:bidi w:val="0"/>
              <w:spacing w:before="0" w:after="20"/>
              <w:jc w:val="left"/>
              <w:rPr>
                <w:rFonts w:ascii="ARIAL" w:hAnsi="ARIAL"/>
                <w:sz w:val="18"/>
              </w:rPr>
            </w:pPr>
            <w:r>
              <w:rPr>
                <w:rFonts w:ascii="ARIAL" w:hAnsi="ARIAL"/>
                <w:sz w:val="18"/>
              </w:rPr>
              <w:t>Productivity</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2024-</w:t>
              <w:br/>
              <w:t>2025</w:t>
            </w:r>
          </w:p>
        </w:tc>
        <w:tc>
          <w:tcPr>
            <w:tcW w:w="60" w:type="dxa"/>
            <w:tcBorders/>
            <w:vAlign w:val="center"/>
          </w:tcPr>
          <w:p>
            <w:pPr>
              <w:pStyle w:val="TableContents"/>
              <w:bidi w:val="0"/>
              <w:spacing w:before="0" w:after="283"/>
              <w:jc w:val="left"/>
              <w:rPr/>
            </w:pPr>
            <w:r>
              <w:rPr/>
              <w:b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center"/>
              <w:rPr/>
            </w:pPr>
            <w:r>
              <w:rPr/>
              <w:t>&gt;60%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center"/>
              <w:rPr/>
            </w:pPr>
            <w:r>
              <w:rPr/>
              <w:t>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center"/>
              <w:rPr/>
            </w:pPr>
            <w:r>
              <w:rPr/>
              <w:t>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center"/>
              <w:rPr/>
            </w:pPr>
            <w:r>
              <w:rPr/>
              <w:t>277%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center"/>
              <w:rPr/>
            </w:pPr>
            <w:r>
              <w:rPr/>
              <w:t>200%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both"/>
        <w:rPr/>
      </w:pP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 xml:space="preserve">Based on the Company’s gross margin improvement and free cash flow productivity during the performance period as shown above, the PRSUs granted under the SIP to Messrs. Peterson and Erceg were earned at the 200% level upon their vesting in February 2026, although the actual value of the shares earned on the vesting date was approximately 105% of the award’s grant date value.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color w:val="248EC3"/>
          <w:sz w:val="22"/>
        </w:rPr>
      </w:pPr>
      <w:r>
        <w:rPr>
          <w:rFonts w:ascii="ARIAL" w:hAnsi="ARIAL"/>
          <w:b/>
          <w:i/>
          <w:color w:val="248EC3"/>
          <w:sz w:val="22"/>
        </w:rPr>
        <w:t xml:space="preserve">Grant Policies and Practices </w:t>
      </w:r>
    </w:p>
    <w:p>
      <w:pPr>
        <w:pStyle w:val="TextBody"/>
        <w:bidi w:val="0"/>
        <w:spacing w:before="240" w:after="0"/>
        <w:jc w:val="both"/>
        <w:rPr>
          <w:rFonts w:ascii="ARIAL" w:hAnsi="ARIAL"/>
          <w:sz w:val="22"/>
        </w:rPr>
      </w:pPr>
      <w:r>
        <w:rPr>
          <w:rFonts w:ascii="ARIAL" w:hAnsi="ARIAL"/>
          <w:sz w:val="22"/>
        </w:rPr>
        <w:t xml:space="preserve">The Company’s practice has been to make annual equity awards and award other incentive compensation to named executive officers in connection with the regularly scheduled meetings of the Board or the Committee in February of each year. The Company’s policy is that, except for new hires and certain promotions, all other equity awards to named executive officers will be approved by the Committee only at quarterly meetings of the Committee or the Board. </w:t>
      </w:r>
    </w:p>
    <w:p>
      <w:pPr>
        <w:pStyle w:val="TextBody"/>
        <w:bidi w:val="0"/>
        <w:spacing w:before="360" w:after="0"/>
        <w:jc w:val="left"/>
        <w:rPr>
          <w:rFonts w:ascii="ARIAL" w:hAnsi="ARIAL"/>
          <w:b/>
          <w:i/>
          <w:color w:val="248EC3"/>
          <w:sz w:val="22"/>
        </w:rPr>
      </w:pPr>
      <w:r>
        <w:rPr>
          <w:rFonts w:ascii="ARIAL" w:hAnsi="ARIAL"/>
          <w:b/>
          <w:i/>
          <w:color w:val="248EC3"/>
          <w:sz w:val="22"/>
        </w:rPr>
        <w:t xml:space="preserve">Executive Compensation Recoupment Policy </w:t>
      </w:r>
    </w:p>
    <w:p>
      <w:pPr>
        <w:pStyle w:val="TextBody"/>
        <w:bidi w:val="0"/>
        <w:spacing w:before="240" w:after="0"/>
        <w:jc w:val="both"/>
        <w:rPr>
          <w:rFonts w:ascii="ARIAL" w:hAnsi="ARIAL"/>
          <w:sz w:val="22"/>
        </w:rPr>
      </w:pPr>
      <w:r>
        <w:rPr>
          <w:rFonts w:ascii="ARIAL" w:hAnsi="ARIAL"/>
          <w:sz w:val="22"/>
        </w:rPr>
        <w:t>In 2023, the Board adopted the Newell Brands Inc. Executive Compensation Recoupment Policy (the “</w:t>
      </w:r>
    </w:p>
    <w:p>
      <w:pPr>
        <w:pStyle w:val="TextBody"/>
        <w:bidi w:val="0"/>
        <w:spacing w:before="240" w:after="0"/>
        <w:jc w:val="both"/>
        <w:rPr>
          <w:rFonts w:ascii="ARIAL" w:hAnsi="ARIAL"/>
          <w:b/>
          <w:sz w:val="22"/>
        </w:rPr>
      </w:pPr>
      <w:r>
        <w:rPr>
          <w:rFonts w:ascii="ARIAL" w:hAnsi="ARIAL"/>
          <w:b/>
          <w:sz w:val="22"/>
        </w:rPr>
        <w:t>Clawback Policy</w:t>
      </w:r>
    </w:p>
    <w:p>
      <w:pPr>
        <w:pStyle w:val="TextBody"/>
        <w:bidi w:val="0"/>
        <w:spacing w:before="240" w:after="0"/>
        <w:jc w:val="both"/>
        <w:rPr/>
      </w:pPr>
      <w:r>
        <w:rPr/>
        <w:t>”</w:t>
      </w:r>
      <w:r>
        <w:rPr>
          <w:rFonts w:ascii="ARIAL" w:hAnsi="ARIAL"/>
          <w:sz w:val="22"/>
        </w:rPr>
        <w:t xml:space="preserve">), incorporating the requirements of Rule </w:t>
      </w:r>
    </w:p>
    <w:p>
      <w:pPr>
        <w:pStyle w:val="TextBody"/>
        <w:bidi w:val="0"/>
        <w:spacing w:before="240" w:after="0"/>
        <w:jc w:val="both"/>
        <w:rPr>
          <w:rFonts w:ascii="ARIAL" w:hAnsi="ARIAL"/>
          <w:sz w:val="22"/>
        </w:rPr>
      </w:pPr>
      <w:r>
        <w:rPr>
          <w:rFonts w:ascii="ARIAL" w:hAnsi="ARIAL"/>
          <w:sz w:val="22"/>
        </w:rPr>
        <w:t>10D-1</w:t>
      </w:r>
    </w:p>
    <w:p>
      <w:pPr>
        <w:pStyle w:val="TextBody"/>
        <w:bidi w:val="0"/>
        <w:spacing w:before="240" w:after="0"/>
        <w:jc w:val="both"/>
        <w:rPr>
          <w:rFonts w:ascii="ARIAL" w:hAnsi="ARIAL"/>
          <w:sz w:val="22"/>
        </w:rPr>
      </w:pPr>
      <w:r>
        <w:rPr>
          <w:rFonts w:ascii="ARIAL" w:hAnsi="ARIAL"/>
          <w:sz w:val="22"/>
        </w:rPr>
        <w:t>(the “</w:t>
      </w:r>
    </w:p>
    <w:p>
      <w:pPr>
        <w:pStyle w:val="TextBody"/>
        <w:bidi w:val="0"/>
        <w:spacing w:before="240" w:after="0"/>
        <w:jc w:val="both"/>
        <w:rPr>
          <w:rFonts w:ascii="ARIAL" w:hAnsi="ARIAL"/>
          <w:b/>
          <w:sz w:val="22"/>
        </w:rPr>
      </w:pPr>
      <w:r>
        <w:rPr>
          <w:rFonts w:ascii="ARIAL" w:hAnsi="ARIAL"/>
          <w:b/>
          <w:sz w:val="22"/>
        </w:rPr>
        <w:t>Clawback Rule</w:t>
      </w:r>
    </w:p>
    <w:p>
      <w:pPr>
        <w:pStyle w:val="TextBody"/>
        <w:bidi w:val="0"/>
        <w:spacing w:before="240" w:after="0"/>
        <w:jc w:val="both"/>
        <w:rPr/>
      </w:pPr>
      <w:r>
        <w:rPr/>
        <w:t>”</w:t>
      </w:r>
      <w:r>
        <w:rPr>
          <w:rFonts w:ascii="ARIAL" w:hAnsi="ARIAL"/>
          <w:sz w:val="22"/>
        </w:rPr>
        <w:t xml:space="preserve">) under the Exchange Act, and the relevant Nasdaq listing standards. Pursuant to the Clawback Policy, in the event that the Company is required to prepare an accounting restatement due to material noncompliance with any financial reporting requirement under securities laws, the Company will recover, reasonably promptly, any covered incentive-based compensation received by an executive officer (or other individual who is an officer for purposes of Section 16 of the Exchange Act) during the three preceding completed fiscal years, to the extent such compensation exceeds the amount that otherwise would have been received based on the restated amounts, computed without regard to any taxes paid. The Clawback Policy covers compensation that is granted, earned, or vested based wholly or in part upon the attainment of any measure that is determined and presented in accordance with the accounting principles used in preparing the Company’s financial statements, and any measures that are derived wholly or in part from such measures, including stock price and total shareholder return. </w:t>
      </w:r>
    </w:p>
    <w:p>
      <w:pPr>
        <w:pStyle w:val="TextBody"/>
        <w:bidi w:val="0"/>
        <w:spacing w:before="240" w:after="0"/>
        <w:jc w:val="both"/>
        <w:rPr>
          <w:rFonts w:ascii="ARIAL" w:hAnsi="ARIAL"/>
          <w:sz w:val="22"/>
        </w:rPr>
      </w:pPr>
      <w:r>
        <w:rPr>
          <w:rFonts w:ascii="ARIAL" w:hAnsi="ARIAL"/>
          <w:sz w:val="22"/>
        </w:rPr>
        <w:t xml:space="preserve">The Company is required to recover all applicable compensation received by a covered officer in the event of an accounting restatement described above, unless the Committee has determined that recovery would be impracticable in accordance with Rule </w:t>
      </w:r>
    </w:p>
    <w:p>
      <w:pPr>
        <w:pStyle w:val="TextBody"/>
        <w:bidi w:val="0"/>
        <w:spacing w:before="240" w:after="0"/>
        <w:jc w:val="both"/>
        <w:rPr>
          <w:rFonts w:ascii="ARIAL" w:hAnsi="ARIAL"/>
          <w:sz w:val="22"/>
        </w:rPr>
      </w:pPr>
      <w:r>
        <w:rPr>
          <w:rFonts w:ascii="ARIAL" w:hAnsi="ARIAL"/>
          <w:sz w:val="22"/>
        </w:rPr>
        <w:t>10D-1</w:t>
      </w:r>
    </w:p>
    <w:p>
      <w:pPr>
        <w:pStyle w:val="TextBody"/>
        <w:bidi w:val="0"/>
        <w:spacing w:before="240" w:after="0"/>
        <w:jc w:val="both"/>
        <w:rPr>
          <w:rFonts w:ascii="ARIAL" w:hAnsi="ARIAL"/>
          <w:sz w:val="22"/>
        </w:rPr>
      </w:pPr>
      <w:r>
        <w:rPr>
          <w:rFonts w:ascii="ARIAL" w:hAnsi="ARIAL"/>
          <w:sz w:val="22"/>
        </w:rPr>
        <w:t xml:space="preserve">under the Exchange Act, and one of the specified clawback exceptions under the Clawback Policy applies. </w:t>
      </w:r>
    </w:p>
    <w:p>
      <w:pPr>
        <w:pStyle w:val="TextBody"/>
        <w:bidi w:val="0"/>
        <w:spacing w:before="240" w:after="0"/>
        <w:jc w:val="both"/>
        <w:rPr>
          <w:rFonts w:ascii="ARIAL" w:hAnsi="ARIAL"/>
          <w:sz w:val="22"/>
        </w:rPr>
      </w:pPr>
      <w:r>
        <w:rPr>
          <w:rFonts w:ascii="ARIAL" w:hAnsi="ARIAL"/>
          <w:sz w:val="22"/>
        </w:rPr>
        <w:t xml:space="preserve">The Clawback Policy applies to incentive-based compensation received by covered officers after October 2, 2023. Incentive-based compensation received by the Company’s executive officers prior to such date remains subject to the Company’s prior Policy Regarding Executive Compensation Recoupment. Under such prior policy, subject to the discretion and approval of the Board, the Company will require reimbursement and/or cancellation of any bonus or other incentive compensation, including equity-based compensation, awarded to an executive officer where all of the following factors are present: (a) the award was predicated upon the achievement of certain financial results that were subsequently the subject of a material restatement, (b) in the Board’s view, the executive engaged in fraud or willful misconduct that was a significant contributing cause to the need for the restatement, and (c) a lower award would have been made to the executive based upon the restated financial results. In each such instance, the Company will, to the extent permitted by applicable law and subject to the fiduciary duties of the Board, seek to recover the individual executive’s bonus award or other incentive compensation paid or issued to the executive officer in excess of the amount that would have been paid or issued based on the restated financial results.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i/>
          <w:color w:val="248EC3"/>
          <w:sz w:val="22"/>
        </w:rPr>
      </w:pPr>
      <w:r>
        <w:rPr>
          <w:rFonts w:ascii="ARIAL" w:hAnsi="ARIAL"/>
          <w:b/>
          <w:i/>
          <w:color w:val="248EC3"/>
          <w:sz w:val="22"/>
        </w:rPr>
        <w:t xml:space="preserve">Stock Ownership Guidelines </w:t>
      </w:r>
    </w:p>
    <w:p>
      <w:pPr>
        <w:pStyle w:val="TextBody"/>
        <w:bidi w:val="0"/>
        <w:spacing w:before="240" w:after="0"/>
        <w:jc w:val="both"/>
        <w:rPr>
          <w:rFonts w:ascii="ARIAL" w:hAnsi="ARIAL"/>
          <w:sz w:val="22"/>
        </w:rPr>
      </w:pPr>
      <w:r>
        <w:rPr>
          <w:rFonts w:ascii="ARIAL" w:hAnsi="ARIAL"/>
          <w:sz w:val="22"/>
        </w:rPr>
        <w:t xml:space="preserve">Named executive officers and </w:t>
      </w:r>
    </w:p>
    <w:p>
      <w:pPr>
        <w:pStyle w:val="TextBody"/>
        <w:bidi w:val="0"/>
        <w:spacing w:before="240" w:after="0"/>
        <w:jc w:val="both"/>
        <w:rPr>
          <w:rFonts w:ascii="ARIAL" w:hAnsi="ARIAL"/>
          <w:sz w:val="22"/>
        </w:rPr>
      </w:pPr>
      <w:r>
        <w:rPr>
          <w:rFonts w:ascii="ARIAL" w:hAnsi="ARIAL"/>
          <w:sz w:val="22"/>
        </w:rPr>
        <w:t>non-employee</w:t>
      </w:r>
    </w:p>
    <w:p>
      <w:pPr>
        <w:pStyle w:val="TextBody"/>
        <w:bidi w:val="0"/>
        <w:spacing w:before="240" w:after="0"/>
        <w:jc w:val="both"/>
        <w:rPr>
          <w:rFonts w:ascii="ARIAL" w:hAnsi="ARIAL"/>
          <w:sz w:val="22"/>
        </w:rPr>
      </w:pPr>
      <w:r>
        <w:rPr>
          <w:rFonts w:ascii="ARIAL" w:hAnsi="ARIAL"/>
          <w:sz w:val="22"/>
        </w:rPr>
        <w:t xml:space="preserve">directors are expected to maintain ownership of Company stock equal to the following applicable market value: </w:t>
      </w:r>
    </w:p>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6140"/>
        <w:gridCol w:w="60"/>
        <w:gridCol w:w="3065"/>
      </w:tblGrid>
      <w:tr>
        <w:trPr/>
        <w:tc>
          <w:tcPr>
            <w:tcW w:w="6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6140" w:type="dxa"/>
            <w:tcBorders>
              <w:bottom w:val="single" w:sz="6" w:space="0" w:color="000000"/>
            </w:tcBorders>
            <w:tcMar>
              <w:bottom w:w="40" w:type="dxa"/>
            </w:tcMar>
            <w:vAlign w:val="center"/>
          </w:tcPr>
          <w:p>
            <w:pPr>
              <w:pStyle w:val="TableContents"/>
              <w:bidi w:val="0"/>
              <w:spacing w:lineRule="atLeast" w:line="320" w:before="0" w:after="0"/>
              <w:jc w:val="left"/>
              <w:rPr>
                <w:rFonts w:ascii="ARIAL" w:hAnsi="ARIAL"/>
                <w:b/>
                <w:sz w:val="21"/>
              </w:rPr>
            </w:pPr>
            <w:r>
              <w:rPr>
                <w:rFonts w:ascii="ARIAL" w:hAnsi="ARIAL"/>
                <w:b/>
                <w:sz w:val="21"/>
              </w:rPr>
              <w:t>Position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65" w:type="dxa"/>
            <w:tcBorders>
              <w:bottom w:val="single" w:sz="6" w:space="0" w:color="000000"/>
            </w:tcBorders>
            <w:tcMar>
              <w:bottom w:w="40" w:type="dxa"/>
            </w:tcMar>
            <w:vAlign w:val="center"/>
          </w:tcPr>
          <w:p>
            <w:pPr>
              <w:pStyle w:val="TableContents"/>
              <w:bidi w:val="0"/>
              <w:spacing w:lineRule="atLeast" w:line="320" w:before="0" w:after="0"/>
              <w:jc w:val="center"/>
              <w:rPr/>
            </w:pPr>
            <w:r>
              <w:rPr/>
              <w:t> </w:t>
            </w:r>
            <w:r>
              <w:rPr>
                <w:rFonts w:ascii="ARIAL" w:hAnsi="ARIAL"/>
                <w:b/>
                <w:sz w:val="21"/>
              </w:rPr>
              <w:t>Ownership Requirement  </w:t>
            </w:r>
          </w:p>
        </w:tc>
      </w:tr>
      <w:tr>
        <w:trPr/>
        <w:tc>
          <w:tcPr>
            <w:tcW w:w="9265" w:type="dxa"/>
            <w:gridSpan w:val="3"/>
            <w:tcBorders>
              <w:bottom w:val="single" w:sz="6" w:space="0" w:color="000000"/>
            </w:tcBorders>
            <w:tcMar>
              <w:bottom w:w="28" w:type="dxa"/>
            </w:tcMar>
            <w:vAlign w:val="center"/>
          </w:tcPr>
          <w:p>
            <w:pPr>
              <w:pStyle w:val="TableContents"/>
              <w:bidi w:val="0"/>
              <w:spacing w:lineRule="atLeast" w:line="142" w:before="0" w:after="20"/>
              <w:jc w:val="center"/>
              <w:rPr/>
            </w:pPr>
            <w:r>
              <w:rPr/>
              <w:t> </w:t>
            </w:r>
          </w:p>
        </w:tc>
      </w:tr>
      <w:tr>
        <w:trPr/>
        <w:tc>
          <w:tcPr>
            <w:tcW w:w="6140" w:type="dxa"/>
            <w:tcBorders/>
            <w:shd w:fill="D5EBF6" w:val="clear"/>
            <w:vAlign w:val="center"/>
          </w:tcPr>
          <w:p>
            <w:pPr>
              <w:pStyle w:val="TableContents"/>
              <w:bidi w:val="0"/>
              <w:spacing w:before="0" w:after="283"/>
              <w:jc w:val="left"/>
              <w:rPr>
                <w:sz w:val="4"/>
                <w:szCs w:val="4"/>
              </w:rPr>
            </w:pPr>
            <w:r>
              <w:rPr>
                <w:sz w:val="4"/>
                <w:szCs w:val="4"/>
              </w:rPr>
            </w:r>
          </w:p>
        </w:tc>
        <w:tc>
          <w:tcPr>
            <w:tcW w:w="312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6140" w:type="dxa"/>
            <w:tcBorders/>
            <w:shd w:fill="D5EBF6" w:val="clear"/>
            <w:vAlign w:val="center"/>
          </w:tcPr>
          <w:p>
            <w:pPr>
              <w:pStyle w:val="TableContents"/>
              <w:bidi w:val="0"/>
              <w:spacing w:before="0" w:after="0"/>
              <w:jc w:val="left"/>
              <w:rPr>
                <w:rFonts w:ascii="ARIAL" w:hAnsi="ARIAL"/>
                <w:sz w:val="22"/>
              </w:rPr>
            </w:pPr>
            <w:r>
              <w:rPr>
                <w:rFonts w:ascii="ARIAL" w:hAnsi="ARIAL"/>
                <w:sz w:val="22"/>
              </w:rPr>
              <w:t>President and Chief Executive Officer</w:t>
            </w:r>
          </w:p>
        </w:tc>
        <w:tc>
          <w:tcPr>
            <w:tcW w:w="60" w:type="dxa"/>
            <w:tcBorders/>
            <w:shd w:fill="D5EBF6" w:val="clear"/>
            <w:vAlign w:val="center"/>
          </w:tcPr>
          <w:p>
            <w:pPr>
              <w:pStyle w:val="TableContents"/>
              <w:bidi w:val="0"/>
              <w:spacing w:before="0" w:after="283"/>
              <w:jc w:val="left"/>
              <w:rPr/>
            </w:pPr>
            <w:r>
              <w:rPr/>
              <w:t> </w:t>
            </w:r>
          </w:p>
        </w:tc>
        <w:tc>
          <w:tcPr>
            <w:tcW w:w="3065" w:type="dxa"/>
            <w:tcBorders/>
            <w:shd w:fill="D5EBF6" w:val="clear"/>
            <w:vAlign w:val="center"/>
          </w:tcPr>
          <w:p>
            <w:pPr>
              <w:pStyle w:val="TableContents"/>
              <w:bidi w:val="0"/>
              <w:spacing w:before="0" w:after="283"/>
              <w:jc w:val="center"/>
              <w:rPr/>
            </w:pPr>
            <w:r>
              <w:rPr/>
              <w:t>6 times annual salary</w:t>
            </w:r>
          </w:p>
        </w:tc>
      </w:tr>
      <w:tr>
        <w:trPr/>
        <w:tc>
          <w:tcPr>
            <w:tcW w:w="6140" w:type="dxa"/>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6140" w:type="dxa"/>
            <w:tcBorders/>
            <w:vAlign w:val="center"/>
          </w:tcPr>
          <w:p>
            <w:pPr>
              <w:pStyle w:val="TableContents"/>
              <w:bidi w:val="0"/>
              <w:spacing w:before="0" w:after="0"/>
              <w:jc w:val="left"/>
              <w:rPr>
                <w:rFonts w:ascii="ARIAL" w:hAnsi="ARIAL"/>
                <w:sz w:val="22"/>
              </w:rPr>
            </w:pPr>
            <w:r>
              <w:rPr>
                <w:rFonts w:ascii="ARIAL" w:hAnsi="ARIAL"/>
                <w:sz w:val="22"/>
              </w:rPr>
              <w:t>Chief Financial Officer and Chief Legal &amp; Administrative Officer</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3 times annual salary</w:t>
            </w:r>
          </w:p>
        </w:tc>
      </w:tr>
      <w:tr>
        <w:trPr/>
        <w:tc>
          <w:tcPr>
            <w:tcW w:w="6140" w:type="dxa"/>
            <w:tcBorders/>
            <w:shd w:fill="D5EBF6" w:val="clear"/>
            <w:vAlign w:val="center"/>
          </w:tcPr>
          <w:p>
            <w:pPr>
              <w:pStyle w:val="TableContents"/>
              <w:bidi w:val="0"/>
              <w:spacing w:before="0" w:after="283"/>
              <w:jc w:val="left"/>
              <w:rPr>
                <w:sz w:val="4"/>
                <w:szCs w:val="4"/>
              </w:rPr>
            </w:pPr>
            <w:r>
              <w:rPr>
                <w:sz w:val="4"/>
                <w:szCs w:val="4"/>
              </w:rPr>
            </w:r>
          </w:p>
        </w:tc>
        <w:tc>
          <w:tcPr>
            <w:tcW w:w="312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6140" w:type="dxa"/>
            <w:tcBorders/>
            <w:shd w:fill="D5EBF6" w:val="clear"/>
            <w:vAlign w:val="center"/>
          </w:tcPr>
          <w:p>
            <w:pPr>
              <w:pStyle w:val="TableContents"/>
              <w:bidi w:val="0"/>
              <w:spacing w:before="0" w:after="0"/>
              <w:jc w:val="left"/>
              <w:rPr>
                <w:rFonts w:ascii="ARIAL" w:hAnsi="ARIAL"/>
                <w:sz w:val="22"/>
              </w:rPr>
            </w:pPr>
            <w:r>
              <w:rPr>
                <w:rFonts w:ascii="ARIAL" w:hAnsi="ARIAL"/>
                <w:sz w:val="22"/>
              </w:rPr>
              <w:t>Other Named Executive Officers</w:t>
            </w:r>
          </w:p>
        </w:tc>
        <w:tc>
          <w:tcPr>
            <w:tcW w:w="60" w:type="dxa"/>
            <w:tcBorders/>
            <w:shd w:fill="D5EBF6" w:val="clear"/>
            <w:vAlign w:val="center"/>
          </w:tcPr>
          <w:p>
            <w:pPr>
              <w:pStyle w:val="TableContents"/>
              <w:bidi w:val="0"/>
              <w:spacing w:before="0" w:after="283"/>
              <w:jc w:val="left"/>
              <w:rPr/>
            </w:pPr>
            <w:r>
              <w:rPr/>
              <w:t> </w:t>
            </w:r>
          </w:p>
        </w:tc>
        <w:tc>
          <w:tcPr>
            <w:tcW w:w="3065" w:type="dxa"/>
            <w:tcBorders/>
            <w:shd w:fill="D5EBF6" w:val="clear"/>
            <w:vAlign w:val="center"/>
          </w:tcPr>
          <w:p>
            <w:pPr>
              <w:pStyle w:val="TableContents"/>
              <w:bidi w:val="0"/>
              <w:spacing w:before="0" w:after="283"/>
              <w:jc w:val="center"/>
              <w:rPr/>
            </w:pPr>
            <w:r>
              <w:rPr/>
              <w:t>1.5 times annual salary</w:t>
            </w:r>
          </w:p>
        </w:tc>
      </w:tr>
      <w:tr>
        <w:trPr/>
        <w:tc>
          <w:tcPr>
            <w:tcW w:w="6140" w:type="dxa"/>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6140" w:type="dxa"/>
            <w:tcBorders/>
            <w:vAlign w:val="center"/>
          </w:tcPr>
          <w:p>
            <w:pPr>
              <w:pStyle w:val="TableContents"/>
              <w:bidi w:val="0"/>
              <w:spacing w:before="0" w:after="0"/>
              <w:jc w:val="left"/>
              <w:rPr>
                <w:rFonts w:ascii="ARIAL" w:hAnsi="ARIAL"/>
                <w:sz w:val="22"/>
              </w:rPr>
            </w:pPr>
            <w:r>
              <w:rPr>
                <w:rFonts w:ascii="ARIAL" w:hAnsi="ARIAL"/>
                <w:sz w:val="22"/>
              </w:rPr>
              <w:t>Non-Employee</w:t>
            </w:r>
          </w:p>
          <w:p>
            <w:pPr>
              <w:pStyle w:val="TableContents"/>
              <w:bidi w:val="0"/>
              <w:spacing w:before="0" w:after="0"/>
              <w:jc w:val="left"/>
              <w:rPr>
                <w:rFonts w:ascii="ARIAL" w:hAnsi="ARIAL"/>
                <w:sz w:val="22"/>
              </w:rPr>
            </w:pPr>
            <w:r>
              <w:rPr>
                <w:rFonts w:ascii="ARIAL" w:hAnsi="ARIAL"/>
                <w:sz w:val="22"/>
              </w:rPr>
              <w:t>Directors (including Chairperson of the Board)</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5 times annual cash retainer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both"/>
        <w:rPr>
          <w:rFonts w:ascii="ARIAL" w:hAnsi="ARIAL"/>
          <w:sz w:val="22"/>
        </w:rPr>
      </w:pPr>
      <w:r>
        <w:rPr>
          <w:rFonts w:ascii="ARIAL" w:hAnsi="ARIAL"/>
          <w:sz w:val="22"/>
        </w:rPr>
        <w:t xml:space="preserve">Until the ownership level is met, executives are required to retain 75% of the net </w:t>
      </w:r>
    </w:p>
    <w:p>
      <w:pPr>
        <w:pStyle w:val="TextBody"/>
        <w:bidi w:val="0"/>
        <w:spacing w:before="0" w:after="0"/>
        <w:jc w:val="both"/>
        <w:rPr>
          <w:rFonts w:ascii="ARIAL" w:hAnsi="ARIAL"/>
          <w:sz w:val="22"/>
        </w:rPr>
      </w:pPr>
      <w:r>
        <w:rPr>
          <w:rFonts w:ascii="ARIAL" w:hAnsi="ARIAL"/>
          <w:sz w:val="22"/>
        </w:rPr>
        <w:t>after-tax</w:t>
      </w:r>
    </w:p>
    <w:p>
      <w:pPr>
        <w:pStyle w:val="TextBody"/>
        <w:bidi w:val="0"/>
        <w:spacing w:before="0" w:after="0"/>
        <w:jc w:val="both"/>
        <w:rPr>
          <w:rFonts w:ascii="ARIAL" w:hAnsi="ARIAL"/>
          <w:sz w:val="22"/>
        </w:rPr>
      </w:pPr>
      <w:r>
        <w:rPr>
          <w:rFonts w:ascii="ARIAL" w:hAnsi="ARIAL"/>
          <w:sz w:val="22"/>
        </w:rPr>
        <w:t>shares received from the vesting of RSUs. This requirement does not limit an executive’s ability to sell shares in connection with an option exercise. To the extent that at any time the executive holds a number of shares sufficient to meet the target value based on the then current valuation, such individual shall be deemed to meet the target at all times thereafter to the extent he or she retains not less than that number of shares. All shares held directly or beneficially, including TRSUs, PRSUs for which all performance criteria have been satisfied but have not yet vested due to time-based vesting requirements, shares of Company stock allocated to executives’ accounts under the Newell Brands Employee Savings Plan (the “</w:t>
      </w:r>
    </w:p>
    <w:p>
      <w:pPr>
        <w:pStyle w:val="TextBody"/>
        <w:bidi w:val="0"/>
        <w:spacing w:before="0" w:after="0"/>
        <w:jc w:val="both"/>
        <w:rPr>
          <w:rFonts w:ascii="ARIAL" w:hAnsi="ARIAL"/>
          <w:b/>
          <w:sz w:val="22"/>
        </w:rPr>
      </w:pPr>
      <w:r>
        <w:rPr>
          <w:rFonts w:ascii="ARIAL" w:hAnsi="ARIAL"/>
          <w:b/>
          <w:sz w:val="22"/>
        </w:rPr>
        <w:t>401(k) Plan</w:t>
      </w:r>
    </w:p>
    <w:p>
      <w:pPr>
        <w:pStyle w:val="TextBody"/>
        <w:bidi w:val="0"/>
        <w:spacing w:before="0" w:after="0"/>
        <w:jc w:val="both"/>
        <w:rPr/>
      </w:pPr>
      <w:r>
        <w:rPr/>
        <w:t>”</w:t>
      </w:r>
      <w:r>
        <w:rPr>
          <w:rFonts w:ascii="ARIAL" w:hAnsi="ARIAL"/>
          <w:sz w:val="22"/>
        </w:rPr>
        <w:t xml:space="preserve">), and deemed investments in Company stock by </w:t>
      </w:r>
    </w:p>
    <w:p>
      <w:pPr>
        <w:pStyle w:val="TextBody"/>
        <w:bidi w:val="0"/>
        <w:spacing w:before="0" w:after="0"/>
        <w:jc w:val="both"/>
        <w:rPr>
          <w:rFonts w:ascii="ARIAL" w:hAnsi="ARIAL"/>
          <w:sz w:val="22"/>
        </w:rPr>
      </w:pPr>
      <w:r>
        <w:rPr>
          <w:rFonts w:ascii="ARIAL" w:hAnsi="ARIAL"/>
          <w:sz w:val="22"/>
        </w:rPr>
        <w:t>non-employee</w:t>
      </w:r>
    </w:p>
    <w:p>
      <w:pPr>
        <w:pStyle w:val="TextBody"/>
        <w:bidi w:val="0"/>
        <w:spacing w:before="0" w:after="0"/>
        <w:jc w:val="both"/>
        <w:rPr>
          <w:rFonts w:ascii="ARIAL" w:hAnsi="ARIAL"/>
          <w:sz w:val="22"/>
        </w:rPr>
      </w:pPr>
      <w:r>
        <w:rPr>
          <w:rFonts w:ascii="ARIAL" w:hAnsi="ARIAL"/>
          <w:sz w:val="22"/>
        </w:rPr>
        <w:t>directors under the Newell Rubbermaid Inc. 2008 Deferred Compensation Plan (the “</w:t>
      </w:r>
    </w:p>
    <w:p>
      <w:pPr>
        <w:pStyle w:val="TextBody"/>
        <w:bidi w:val="0"/>
        <w:spacing w:before="0" w:after="0"/>
        <w:jc w:val="both"/>
        <w:rPr>
          <w:rFonts w:ascii="ARIAL" w:hAnsi="ARIAL"/>
          <w:b/>
          <w:sz w:val="22"/>
        </w:rPr>
      </w:pPr>
      <w:r>
        <w:rPr>
          <w:rFonts w:ascii="ARIAL" w:hAnsi="ARIAL"/>
          <w:b/>
          <w:sz w:val="22"/>
        </w:rPr>
        <w:t>2008</w:t>
      </w:r>
    </w:p>
    <w:p>
      <w:pPr>
        <w:pStyle w:val="TextBody"/>
        <w:bidi w:val="0"/>
        <w:spacing w:before="0" w:after="0"/>
        <w:jc w:val="both"/>
        <w:rPr>
          <w:rFonts w:ascii="ARIAL" w:hAnsi="ARIAL"/>
          <w:b/>
          <w:sz w:val="22"/>
        </w:rPr>
      </w:pPr>
      <w:r>
        <w:rPr>
          <w:rFonts w:ascii="ARIAL" w:hAnsi="ARIAL"/>
          <w:b/>
          <w:sz w:val="22"/>
        </w:rPr>
        <w:t>Plan</w:t>
      </w:r>
    </w:p>
    <w:p>
      <w:pPr>
        <w:pStyle w:val="TextBody"/>
        <w:bidi w:val="0"/>
        <w:spacing w:before="0" w:after="0"/>
        <w:jc w:val="both"/>
        <w:rPr/>
      </w:pPr>
      <w:r>
        <w:rPr/>
        <w:t>”</w:t>
      </w:r>
      <w:r>
        <w:rPr>
          <w:rFonts w:ascii="ARIAL" w:hAnsi="ARIAL"/>
          <w:sz w:val="22"/>
        </w:rPr>
        <w:t xml:space="preserve">), count toward attainment of these targets. Unexercised stock options and PRSUs for which performance criteria have not been satisfied are not counted. All of the named executive officers are in compliance with the Company’s stock ownership guidelines as of the date of this Proxy Statement. </w:t>
      </w:r>
    </w:p>
    <w:p>
      <w:pPr>
        <w:pStyle w:val="TextBody"/>
        <w:bidi w:val="0"/>
        <w:spacing w:before="240" w:after="0"/>
        <w:jc w:val="left"/>
        <w:rPr>
          <w:rFonts w:ascii="ARIAL" w:hAnsi="ARIAL"/>
          <w:b/>
          <w:i/>
          <w:color w:val="248EC3"/>
          <w:sz w:val="22"/>
        </w:rPr>
      </w:pPr>
      <w:r>
        <w:rPr>
          <w:rFonts w:ascii="ARIAL" w:hAnsi="ARIAL"/>
          <w:b/>
          <w:i/>
          <w:color w:val="248EC3"/>
          <w:sz w:val="22"/>
        </w:rPr>
        <w:t xml:space="preserve">Retirement Compensation </w:t>
      </w:r>
    </w:p>
    <w:p>
      <w:pPr>
        <w:pStyle w:val="TextBody"/>
        <w:bidi w:val="0"/>
        <w:spacing w:before="240" w:after="0"/>
        <w:jc w:val="both"/>
        <w:rPr>
          <w:rFonts w:ascii="ARIAL" w:hAnsi="ARIAL"/>
          <w:sz w:val="22"/>
        </w:rPr>
      </w:pPr>
      <w:r>
        <w:rPr>
          <w:rFonts w:ascii="ARIAL" w:hAnsi="ARIAL"/>
          <w:sz w:val="22"/>
        </w:rPr>
        <w:t>The Company provides its eligible executives with retirement benefits that are supplemental to those provided to its employees generally in order to provide competitive benefits and assist in attracting and retaining key executives. Depending on his or her employment date and participation eligibility date with the Company, these supplemental executive retirement benefits may also apply to the named executive officers. See the section below titled “</w:t>
      </w:r>
    </w:p>
    <w:p>
      <w:pPr>
        <w:pStyle w:val="TextBody"/>
        <w:bidi w:val="0"/>
        <w:spacing w:before="240" w:after="0"/>
        <w:jc w:val="both"/>
        <w:rPr>
          <w:rFonts w:ascii="ARIAL" w:hAnsi="ARIAL"/>
          <w:i/>
          <w:sz w:val="22"/>
        </w:rPr>
      </w:pPr>
      <w:r>
        <w:rPr>
          <w:rFonts w:ascii="ARIAL" w:hAnsi="ARIAL"/>
          <w:i/>
          <w:sz w:val="22"/>
        </w:rPr>
        <w:t>2025 Nonqualified Deferred Compensation</w:t>
      </w:r>
    </w:p>
    <w:p>
      <w:pPr>
        <w:pStyle w:val="TextBody"/>
        <w:bidi w:val="0"/>
        <w:spacing w:before="240" w:after="0"/>
        <w:jc w:val="both"/>
        <w:rPr/>
      </w:pPr>
      <w:r>
        <w:rPr/>
        <w:t xml:space="preserve">” </w:t>
      </w:r>
      <w:r>
        <w:rPr>
          <w:rFonts w:ascii="ARIAL" w:hAnsi="ARIAL"/>
          <w:sz w:val="22"/>
        </w:rPr>
        <w:t>for a more detailed discussion of the supplemental retirement benefits to which certain named executive officers are entitled. The Company maintains the Newell Brands Supplemental Employee Savings Plan (the “</w:t>
      </w:r>
    </w:p>
    <w:p>
      <w:pPr>
        <w:pStyle w:val="TextBody"/>
        <w:bidi w:val="0"/>
        <w:spacing w:before="240" w:after="0"/>
        <w:jc w:val="both"/>
        <w:rPr>
          <w:rFonts w:ascii="ARIAL" w:hAnsi="ARIAL"/>
          <w:b/>
          <w:sz w:val="22"/>
        </w:rPr>
      </w:pPr>
      <w:r>
        <w:rPr>
          <w:rFonts w:ascii="ARIAL" w:hAnsi="ARIAL"/>
          <w:b/>
          <w:sz w:val="22"/>
        </w:rPr>
        <w:t>Supplemental ESP</w:t>
      </w:r>
    </w:p>
    <w:p>
      <w:pPr>
        <w:pStyle w:val="TextBody"/>
        <w:bidi w:val="0"/>
        <w:spacing w:before="240" w:after="0"/>
        <w:jc w:val="both"/>
        <w:rPr/>
      </w:pPr>
      <w:r>
        <w:rPr/>
        <w:t>”</w:t>
      </w:r>
      <w:r>
        <w:rPr>
          <w:rFonts w:ascii="ARIAL" w:hAnsi="ARIAL"/>
          <w:sz w:val="22"/>
        </w:rPr>
        <w:t xml:space="preserve">), a nonqualified deferred compensation plan that is available to a select group of management and highly compensated employees of the Company and certain of its subsidiaries. The Supplemental ESP is designed to allow for deferrals that are in addition to those available to employees under the 401(k) Plan because of compensation limits under that plan. </w:t>
      </w:r>
    </w:p>
    <w:p>
      <w:pPr>
        <w:pStyle w:val="TextBody"/>
        <w:bidi w:val="0"/>
        <w:spacing w:before="240" w:after="0"/>
        <w:jc w:val="left"/>
        <w:rPr>
          <w:rFonts w:ascii="ARIAL" w:hAnsi="ARIAL"/>
          <w:b/>
          <w:i/>
          <w:color w:val="248EC3"/>
          <w:sz w:val="22"/>
        </w:rPr>
      </w:pPr>
      <w:r>
        <w:rPr>
          <w:rFonts w:ascii="ARIAL" w:hAnsi="ARIAL"/>
          <w:b/>
          <w:i/>
          <w:color w:val="248EC3"/>
          <w:sz w:val="22"/>
        </w:rPr>
        <w:t xml:space="preserve">Other Compensation </w:t>
      </w:r>
    </w:p>
    <w:p>
      <w:pPr>
        <w:pStyle w:val="TextBody"/>
        <w:bidi w:val="0"/>
        <w:spacing w:before="240" w:after="0"/>
        <w:jc w:val="both"/>
        <w:rPr>
          <w:rFonts w:ascii="ARIAL" w:hAnsi="ARIAL"/>
          <w:sz w:val="22"/>
        </w:rPr>
      </w:pPr>
      <w:r>
        <w:rPr>
          <w:rFonts w:ascii="ARIAL" w:hAnsi="ARIAL"/>
          <w:sz w:val="22"/>
        </w:rPr>
        <w:t xml:space="preserve">Executive officers are provided other benefits as part of the Company’s executive compensation program which the Committee believes are in line with competitive practices.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See the “</w:t>
      </w:r>
    </w:p>
    <w:p>
      <w:pPr>
        <w:pStyle w:val="TextBody"/>
        <w:bidi w:val="0"/>
        <w:spacing w:before="0" w:after="0"/>
        <w:jc w:val="both"/>
        <w:rPr>
          <w:rFonts w:ascii="ARIAL" w:hAnsi="ARIAL"/>
          <w:i/>
          <w:sz w:val="22"/>
        </w:rPr>
      </w:pPr>
      <w:r>
        <w:rPr>
          <w:rFonts w:ascii="ARIAL" w:hAnsi="ARIAL"/>
          <w:i/>
          <w:sz w:val="22"/>
        </w:rPr>
        <w:t>All Other Compensation</w:t>
      </w:r>
    </w:p>
    <w:p>
      <w:pPr>
        <w:pStyle w:val="TextBody"/>
        <w:bidi w:val="0"/>
        <w:spacing w:before="0" w:after="0"/>
        <w:jc w:val="both"/>
        <w:rPr/>
      </w:pPr>
      <w:r>
        <w:rPr/>
        <w:t xml:space="preserve">” </w:t>
      </w:r>
      <w:r>
        <w:rPr>
          <w:rFonts w:ascii="ARIAL" w:hAnsi="ARIAL"/>
          <w:sz w:val="22"/>
        </w:rPr>
        <w:t>column of the “</w:t>
      </w:r>
    </w:p>
    <w:p>
      <w:pPr>
        <w:pStyle w:val="TextBody"/>
        <w:bidi w:val="0"/>
        <w:spacing w:before="0" w:after="0"/>
        <w:jc w:val="both"/>
        <w:rPr>
          <w:rFonts w:ascii="ARIAL" w:hAnsi="ARIAL"/>
          <w:i/>
          <w:sz w:val="22"/>
        </w:rPr>
      </w:pPr>
      <w:r>
        <w:rPr>
          <w:rFonts w:ascii="ARIAL" w:hAnsi="ARIAL"/>
          <w:i/>
          <w:sz w:val="22"/>
        </w:rPr>
        <w:t>2025 Summary Compensation Table</w:t>
      </w:r>
    </w:p>
    <w:p>
      <w:pPr>
        <w:pStyle w:val="TextBody"/>
        <w:bidi w:val="0"/>
        <w:spacing w:before="0" w:after="0"/>
        <w:jc w:val="both"/>
        <w:rPr/>
      </w:pPr>
      <w:r>
        <w:rPr/>
        <w:t xml:space="preserve">” </w:t>
      </w:r>
      <w:r>
        <w:rPr>
          <w:rFonts w:ascii="ARIAL" w:hAnsi="ARIAL"/>
          <w:sz w:val="22"/>
        </w:rPr>
        <w:t xml:space="preserve">and the related footnotes and narrative discussion. </w:t>
      </w:r>
    </w:p>
    <w:p>
      <w:pPr>
        <w:pStyle w:val="TextBody"/>
        <w:bidi w:val="0"/>
        <w:spacing w:before="240" w:after="0"/>
        <w:jc w:val="both"/>
        <w:rPr>
          <w:rFonts w:ascii="ARIAL" w:hAnsi="ARIAL"/>
          <w:b/>
          <w:sz w:val="22"/>
        </w:rPr>
      </w:pPr>
      <w:r>
        <w:rPr>
          <w:rFonts w:ascii="ARIAL" w:hAnsi="ARIAL"/>
          <w:b/>
          <w:sz w:val="22"/>
        </w:rPr>
        <w:t>Other Benefits for the Named Executive Officers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WINGDINGS" w:hAnsi="WINGDINGS"/>
                <w:sz w:val="22"/>
              </w:rPr>
            </w:pPr>
            <w:r>
              <w:rPr>
                <w:rFonts w:ascii="WINGDINGS" w:hAnsi="WINGDINGS"/>
                <w:sz w:val="22"/>
              </w:rPr>
              <w:t>Ø</w:t>
            </w:r>
          </w:p>
          <w:p>
            <w:pPr>
              <w:pStyle w:val="TableContents"/>
              <w:bidi w:val="0"/>
              <w:spacing w:before="0" w:after="0"/>
              <w:jc w:val="both"/>
              <w:rPr/>
            </w:pPr>
            <w:r>
              <w:rPr/>
              <w:t>  </w:t>
            </w:r>
            <w:r>
              <w:rPr>
                <w:rFonts w:ascii="ARIAL" w:hAnsi="ARIAL"/>
                <w:sz w:val="22"/>
              </w:rPr>
              <w:t>Participation in the Flexible Perquisites Program, which provides a monthly cash stipend that can be used for the purchase or lease of a personal automobile and related insurance and maintenance, income tax preparation services, estate planning services, financial planning services or other perquisites;</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WINGDINGS" w:hAnsi="WINGDINGS"/>
                <w:sz w:val="22"/>
              </w:rPr>
            </w:pPr>
            <w:r>
              <w:rPr>
                <w:rFonts w:ascii="WINGDINGS" w:hAnsi="WINGDINGS"/>
                <w:sz w:val="22"/>
              </w:rPr>
              <w:t>Ø</w:t>
            </w:r>
          </w:p>
          <w:p>
            <w:pPr>
              <w:pStyle w:val="TableContents"/>
              <w:bidi w:val="0"/>
              <w:spacing w:before="0" w:after="0"/>
              <w:jc w:val="both"/>
              <w:rPr/>
            </w:pPr>
            <w:r>
              <w:rPr/>
              <w:t>  </w:t>
            </w:r>
            <w:r>
              <w:rPr>
                <w:rFonts w:ascii="ARIAL" w:hAnsi="ARIAL"/>
                <w:sz w:val="22"/>
              </w:rPr>
              <w:t>Company contributions to the 401(k) Plan;</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WINGDINGS" w:hAnsi="WINGDINGS"/>
                <w:sz w:val="22"/>
              </w:rPr>
            </w:pPr>
            <w:r>
              <w:rPr>
                <w:rFonts w:ascii="WINGDINGS" w:hAnsi="WINGDINGS"/>
                <w:sz w:val="22"/>
              </w:rPr>
              <w:t>Ø</w:t>
            </w:r>
          </w:p>
          <w:p>
            <w:pPr>
              <w:pStyle w:val="TableContents"/>
              <w:bidi w:val="0"/>
              <w:spacing w:before="0" w:after="0"/>
              <w:jc w:val="both"/>
              <w:rPr/>
            </w:pPr>
            <w:r>
              <w:rPr/>
              <w:t>  </w:t>
            </w:r>
            <w:r>
              <w:rPr>
                <w:rFonts w:ascii="ARIAL" w:hAnsi="ARIAL"/>
                <w:sz w:val="22"/>
              </w:rPr>
              <w:t>Payment of life and long-term disability insurance premiums;</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WINGDINGS" w:hAnsi="WINGDINGS"/>
                <w:sz w:val="22"/>
              </w:rPr>
            </w:pPr>
            <w:r>
              <w:rPr>
                <w:rFonts w:ascii="WINGDINGS" w:hAnsi="WINGDINGS"/>
                <w:sz w:val="22"/>
              </w:rPr>
              <w:t>Ø</w:t>
            </w:r>
          </w:p>
          <w:p>
            <w:pPr>
              <w:pStyle w:val="TableContents"/>
              <w:bidi w:val="0"/>
              <w:spacing w:before="0" w:after="0"/>
              <w:jc w:val="both"/>
              <w:rPr/>
            </w:pPr>
            <w:r>
              <w:rPr/>
              <w:t>  </w:t>
            </w:r>
            <w:r>
              <w:rPr>
                <w:rFonts w:ascii="ARIAL" w:hAnsi="ARIAL"/>
                <w:sz w:val="22"/>
              </w:rPr>
              <w:t>Annual health examinations encouraged by the Company; and</w:t>
            </w:r>
          </w:p>
        </w:tc>
      </w:tr>
      <w:tr>
        <w:trPr/>
        <w:tc>
          <w:tcPr>
            <w:tcW w:w="10205" w:type="dxa"/>
            <w:tcBorders/>
            <w:shd w:fill="D5EBF6" w:val="clear"/>
            <w:vAlign w:val="center"/>
          </w:tcPr>
          <w:p>
            <w:pPr>
              <w:pStyle w:val="TableContents"/>
              <w:bidi w:val="0"/>
              <w:spacing w:before="0" w:after="283"/>
              <w:jc w:val="left"/>
              <w:rPr>
                <w:sz w:val="4"/>
                <w:szCs w:val="4"/>
              </w:rPr>
            </w:pPr>
            <w:r>
              <w:rPr>
                <w:sz w:val="4"/>
                <w:szCs w:val="4"/>
              </w:rPr>
            </w:r>
          </w:p>
        </w:tc>
      </w:tr>
      <w:tr>
        <w:trPr/>
        <w:tc>
          <w:tcPr>
            <w:tcW w:w="10205" w:type="dxa"/>
            <w:tcBorders/>
            <w:shd w:fill="D5EBF6" w:val="clear"/>
            <w:vAlign w:val="center"/>
          </w:tcPr>
          <w:p>
            <w:pPr>
              <w:pStyle w:val="TableContents"/>
              <w:bidi w:val="0"/>
              <w:spacing w:before="0" w:after="0"/>
              <w:jc w:val="both"/>
              <w:rPr>
                <w:rFonts w:ascii="WINGDINGS" w:hAnsi="WINGDINGS"/>
                <w:sz w:val="22"/>
              </w:rPr>
            </w:pPr>
            <w:r>
              <w:rPr>
                <w:rFonts w:ascii="WINGDINGS" w:hAnsi="WINGDINGS"/>
                <w:sz w:val="22"/>
              </w:rPr>
              <w:t>Ø</w:t>
            </w:r>
          </w:p>
          <w:p>
            <w:pPr>
              <w:pStyle w:val="TableContents"/>
              <w:bidi w:val="0"/>
              <w:spacing w:before="0" w:after="0"/>
              <w:jc w:val="both"/>
              <w:rPr/>
            </w:pPr>
            <w:r>
              <w:rPr/>
              <w:t>  </w:t>
            </w:r>
            <w:r>
              <w:rPr>
                <w:rFonts w:ascii="ARIAL" w:hAnsi="ARIAL"/>
                <w:sz w:val="22"/>
              </w:rPr>
              <w:t>Assistance for a new hire or transfer necessitating relocation, which includes reimbursement of various relocation expenses, a relocation allowance, purchase of the executive’s home at an appraised value if not sold within a certain period, payment up to $50,000 for a loss on sale, a bonus for an early sale of the executive’s home and tax assistance on certain taxable reimbursed expenses.</w:t>
            </w:r>
          </w:p>
        </w:tc>
      </w:tr>
      <w:tr>
        <w:trPr/>
        <w:tc>
          <w:tcPr>
            <w:tcW w:w="1020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r>
    </w:tbl>
    <w:p>
      <w:pPr>
        <w:pStyle w:val="TextBody"/>
        <w:bidi w:val="0"/>
        <w:spacing w:before="240" w:after="0"/>
        <w:jc w:val="both"/>
        <w:rPr>
          <w:rFonts w:ascii="ARIAL" w:hAnsi="ARIAL"/>
          <w:sz w:val="22"/>
        </w:rPr>
      </w:pPr>
      <w:r>
        <w:rPr>
          <w:rFonts w:ascii="ARIAL" w:hAnsi="ARIAL"/>
          <w:sz w:val="22"/>
        </w:rPr>
        <w:t xml:space="preserve">The Company maintains one corporate aircraft, for business travel. Additionally, to address concerns of safety and security, the CEO may use Company owned or leased aircraft for travel to and from meetings of any third-party board of directors on which he serves, and for other personal use up to a limit of $200,000 of incremental costs to the Company per year. Otherwise, the named executive officers may only use the corporate aircraft for personal travel on an exception basis. Any of the foregoing unreimbursed uses that does not qualify as business use will be imputed to the employee as income. </w:t>
      </w:r>
    </w:p>
    <w:p>
      <w:pPr>
        <w:pStyle w:val="TextBody"/>
        <w:bidi w:val="0"/>
        <w:spacing w:before="240" w:after="0"/>
        <w:jc w:val="left"/>
        <w:rPr>
          <w:rFonts w:ascii="ARIAL" w:hAnsi="ARIAL"/>
          <w:b/>
          <w:i/>
          <w:color w:val="248EC3"/>
          <w:sz w:val="22"/>
        </w:rPr>
      </w:pPr>
      <w:r>
        <w:rPr>
          <w:rFonts w:ascii="ARIAL" w:hAnsi="ARIAL"/>
          <w:b/>
          <w:i/>
          <w:color w:val="248EC3"/>
          <w:sz w:val="22"/>
        </w:rPr>
        <w:t xml:space="preserve">Termination Benefits </w:t>
      </w:r>
    </w:p>
    <w:p>
      <w:pPr>
        <w:pStyle w:val="TextBody"/>
        <w:bidi w:val="0"/>
        <w:spacing w:before="240" w:after="0"/>
        <w:jc w:val="both"/>
        <w:rPr>
          <w:rFonts w:ascii="ARIAL" w:hAnsi="ARIAL"/>
          <w:sz w:val="22"/>
        </w:rPr>
      </w:pPr>
      <w:r>
        <w:rPr>
          <w:rFonts w:ascii="ARIAL" w:hAnsi="ARIAL"/>
          <w:sz w:val="22"/>
        </w:rPr>
        <w:t>Each of the named executive officers is entitled to severance benefits following certain terminations of employment pursuant to the Newell Brands Executive Severance Plan (the “</w:t>
      </w:r>
    </w:p>
    <w:p>
      <w:pPr>
        <w:pStyle w:val="TextBody"/>
        <w:bidi w:val="0"/>
        <w:spacing w:before="240" w:after="0"/>
        <w:jc w:val="both"/>
        <w:rPr>
          <w:rFonts w:ascii="ARIAL" w:hAnsi="ARIAL"/>
          <w:b/>
          <w:sz w:val="22"/>
        </w:rPr>
      </w:pPr>
      <w:r>
        <w:rPr>
          <w:rFonts w:ascii="ARIAL" w:hAnsi="ARIAL"/>
          <w:b/>
          <w:sz w:val="22"/>
        </w:rPr>
        <w:t>Severance Plan</w:t>
      </w:r>
    </w:p>
    <w:p>
      <w:pPr>
        <w:pStyle w:val="TextBody"/>
        <w:bidi w:val="0"/>
        <w:spacing w:before="240" w:after="0"/>
        <w:jc w:val="both"/>
        <w:rPr/>
      </w:pPr>
      <w:r>
        <w:rPr/>
        <w:t>”</w:t>
      </w:r>
      <w:r>
        <w:rPr>
          <w:rFonts w:ascii="ARIAL" w:hAnsi="ARIAL"/>
          <w:sz w:val="22"/>
        </w:rPr>
        <w:t>), their employment terms, the 2013 Incentive Plan and 2022 Incentive Plan and/or the terms of their RSU agreements and stock option agreements.</w:t>
      </w:r>
    </w:p>
    <w:p>
      <w:pPr>
        <w:pStyle w:val="TextBody"/>
        <w:bidi w:val="0"/>
        <w:spacing w:before="240" w:after="0"/>
        <w:jc w:val="both"/>
        <w:rPr>
          <w:rFonts w:ascii="ARIAL" w:hAnsi="ARIAL"/>
          <w:sz w:val="22"/>
        </w:rPr>
      </w:pPr>
      <w:r>
        <w:rPr>
          <w:rFonts w:ascii="ARIAL" w:hAnsi="ARIAL"/>
          <w:sz w:val="22"/>
        </w:rPr>
        <w:t xml:space="preserve">All of the named executive officers participate in the Severance Plan, which provides severance compensation, medical benefits and certain other benefits to eligible Company Executives (as defined in the Severance Plan) when their employment terminates under certain circumstances. In order to participate in the Severance Plan, an executive must waive any rights to severance payments and other severance benefits under his or her employment security agreement or other written agreement between such executive and the Company in effect as of the effective date of participation in the Severance Plan (other than any provisions thereof that apply to the executive’s awards with respect to the securities of the Company granted prior to the effective date of the executive’s participation in the Severance Plan). The Severance Plan does not contain tax gross up provisions. Rather, payments and benefits payable to the executive will be reduced to the extent necessary if doing so would result in the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executive retaining a larger </w:t>
      </w:r>
    </w:p>
    <w:p>
      <w:pPr>
        <w:pStyle w:val="TextBody"/>
        <w:bidi w:val="0"/>
        <w:spacing w:before="0" w:after="0"/>
        <w:jc w:val="both"/>
        <w:rPr>
          <w:rFonts w:ascii="ARIAL" w:hAnsi="ARIAL"/>
          <w:sz w:val="22"/>
        </w:rPr>
      </w:pPr>
      <w:r>
        <w:rPr>
          <w:rFonts w:ascii="ARIAL" w:hAnsi="ARIAL"/>
          <w:sz w:val="22"/>
        </w:rPr>
        <w:t>after-tax</w:t>
      </w:r>
    </w:p>
    <w:p>
      <w:pPr>
        <w:pStyle w:val="TextBody"/>
        <w:bidi w:val="0"/>
        <w:spacing w:before="0" w:after="0"/>
        <w:jc w:val="both"/>
        <w:rPr>
          <w:rFonts w:ascii="ARIAL" w:hAnsi="ARIAL"/>
          <w:sz w:val="22"/>
        </w:rPr>
      </w:pPr>
      <w:r>
        <w:rPr>
          <w:rFonts w:ascii="ARIAL" w:hAnsi="ARIAL"/>
          <w:sz w:val="22"/>
        </w:rPr>
        <w:t>amount, taking into account the income, excise and other taxes imposed on the payments and benefits. For additional information about the Severance Plan, see the description under the caption titled “</w:t>
      </w:r>
    </w:p>
    <w:p>
      <w:pPr>
        <w:pStyle w:val="TextBody"/>
        <w:bidi w:val="0"/>
        <w:spacing w:before="0" w:after="0"/>
        <w:jc w:val="both"/>
        <w:rPr>
          <w:rFonts w:ascii="ARIAL" w:hAnsi="ARIAL"/>
          <w:i/>
          <w:sz w:val="22"/>
        </w:rPr>
      </w:pPr>
      <w:r>
        <w:rPr>
          <w:rFonts w:ascii="ARIAL" w:hAnsi="ARIAL"/>
          <w:i/>
          <w:sz w:val="22"/>
        </w:rPr>
        <w:t>Potential Payments Upon Termination or Change in Control of the Company</w:t>
      </w:r>
    </w:p>
    <w:p>
      <w:pPr>
        <w:pStyle w:val="TextBody"/>
        <w:bidi w:val="0"/>
        <w:spacing w:before="0" w:after="0"/>
        <w:jc w:val="both"/>
        <w:rPr/>
      </w:pPr>
      <w:r>
        <w:rPr/>
        <w:t xml:space="preserve">” </w:t>
      </w:r>
      <w:r>
        <w:rPr>
          <w:rFonts w:ascii="ARIAL" w:hAnsi="ARIAL"/>
          <w:sz w:val="22"/>
        </w:rPr>
        <w:t xml:space="preserve">below. </w:t>
      </w:r>
    </w:p>
    <w:p>
      <w:pPr>
        <w:pStyle w:val="TextBody"/>
        <w:bidi w:val="0"/>
        <w:spacing w:before="240" w:after="0"/>
        <w:jc w:val="both"/>
        <w:rPr>
          <w:rFonts w:ascii="ARIAL" w:hAnsi="ARIAL"/>
          <w:sz w:val="22"/>
        </w:rPr>
      </w:pPr>
      <w:r>
        <w:rPr>
          <w:rFonts w:ascii="ARIAL" w:hAnsi="ARIAL"/>
          <w:sz w:val="22"/>
        </w:rPr>
        <w:t xml:space="preserve">The Company believes that appropriate severance benefits are important to attracting and retaining talented executives. The Company also believes that the termination protections afforded under RSU agreements and stock option agreements are appropriate given that the RSU and stock option agreements provide that the executive will be subject to confidentiality obligations and </w:t>
      </w:r>
    </w:p>
    <w:p>
      <w:pPr>
        <w:pStyle w:val="TextBody"/>
        <w:bidi w:val="0"/>
        <w:spacing w:before="240" w:after="0"/>
        <w:jc w:val="both"/>
        <w:rPr>
          <w:rFonts w:ascii="ARIAL" w:hAnsi="ARIAL"/>
          <w:sz w:val="22"/>
        </w:rPr>
      </w:pPr>
      <w:r>
        <w:rPr>
          <w:rFonts w:ascii="ARIAL" w:hAnsi="ARIAL"/>
          <w:sz w:val="22"/>
        </w:rPr>
        <w:t>non-solicitation,</w:t>
      </w:r>
    </w:p>
    <w:p>
      <w:pPr>
        <w:pStyle w:val="TextBody"/>
        <w:bidi w:val="0"/>
        <w:spacing w:before="240" w:after="0"/>
        <w:jc w:val="both"/>
        <w:rPr>
          <w:rFonts w:ascii="ARIAL" w:hAnsi="ARIAL"/>
          <w:sz w:val="22"/>
        </w:rPr>
      </w:pPr>
      <w:r>
        <w:rPr>
          <w:rFonts w:ascii="ARIAL" w:hAnsi="ARIAL"/>
          <w:sz w:val="22"/>
        </w:rPr>
        <w:t>non-competition</w:t>
      </w:r>
    </w:p>
    <w:p>
      <w:pPr>
        <w:pStyle w:val="TextBody"/>
        <w:bidi w:val="0"/>
        <w:spacing w:before="240" w:after="0"/>
        <w:jc w:val="both"/>
        <w:rPr>
          <w:rFonts w:ascii="ARIAL" w:hAnsi="ARIAL"/>
          <w:sz w:val="22"/>
        </w:rPr>
      </w:pPr>
      <w:r>
        <w:rPr>
          <w:rFonts w:ascii="ARIAL" w:hAnsi="ARIAL"/>
          <w:sz w:val="22"/>
        </w:rPr>
        <w:t xml:space="preserve">and </w:t>
      </w:r>
    </w:p>
    <w:p>
      <w:pPr>
        <w:pStyle w:val="TextBody"/>
        <w:bidi w:val="0"/>
        <w:spacing w:before="240" w:after="0"/>
        <w:jc w:val="both"/>
        <w:rPr>
          <w:rFonts w:ascii="ARIAL" w:hAnsi="ARIAL"/>
          <w:sz w:val="22"/>
        </w:rPr>
      </w:pPr>
      <w:r>
        <w:rPr>
          <w:rFonts w:ascii="ARIAL" w:hAnsi="ARIAL"/>
          <w:sz w:val="22"/>
        </w:rPr>
        <w:t>non-disparagement</w:t>
      </w:r>
    </w:p>
    <w:p>
      <w:pPr>
        <w:pStyle w:val="TextBody"/>
        <w:bidi w:val="0"/>
        <w:spacing w:before="240" w:after="0"/>
        <w:jc w:val="both"/>
        <w:rPr>
          <w:rFonts w:ascii="ARIAL" w:hAnsi="ARIAL"/>
          <w:sz w:val="22"/>
        </w:rPr>
      </w:pPr>
      <w:r>
        <w:rPr>
          <w:rFonts w:ascii="ARIAL" w:hAnsi="ARIAL"/>
          <w:sz w:val="22"/>
        </w:rPr>
        <w:t xml:space="preserve">restrictive covenants following any termination of employment. </w:t>
      </w:r>
    </w:p>
    <w:p>
      <w:pPr>
        <w:pStyle w:val="TextBody"/>
        <w:bidi w:val="0"/>
        <w:spacing w:before="240" w:after="0"/>
        <w:jc w:val="both"/>
        <w:rPr>
          <w:rFonts w:ascii="ARIAL" w:hAnsi="ARIAL"/>
          <w:sz w:val="22"/>
        </w:rPr>
      </w:pPr>
      <w:r>
        <w:rPr>
          <w:rFonts w:ascii="ARIAL" w:hAnsi="ARIAL"/>
          <w:sz w:val="22"/>
        </w:rPr>
        <w:t xml:space="preserve">The Company also believes that, in the event of an extraordinary corporate transaction, the Severance Plan could prove crucial to the Company’s ability to retain top management through the transaction process. In addition, the Company believes that the benefits provided under the Severance Plan represent fair and appropriate consideration for the agreement of the named executive officers to the restrictive covenants required under the Severance Plan that prohibit them from competing with the Company and from soliciting Company employees following a termination of employment in which the executive received severance benefits under the plan. The benefits provided under the Severance Plan were determined to be at levels appropriate and competitive with the benefits provided under similar arrangements of companies in the Company’s custom comparator group. </w:t>
      </w:r>
    </w:p>
    <w:p>
      <w:pPr>
        <w:pStyle w:val="TextBody"/>
        <w:bidi w:val="0"/>
        <w:spacing w:before="0" w:after="0"/>
        <w:jc w:val="left"/>
        <w:rPr/>
      </w:pPr>
      <w:r>
        <w:rPr/>
        <w:t> </w:t>
      </w:r>
    </w:p>
    <w:p>
      <w:pPr>
        <w:pStyle w:val="TextBody"/>
        <w:bidi w:val="0"/>
        <w:jc w:val="center"/>
        <w:rPr>
          <w:rFonts w:ascii="ARIAL" w:hAnsi="ARIAL"/>
          <w:sz w:val="24"/>
        </w:rPr>
      </w:pPr>
      <w:r>
        <w:rPr>
          <w:rFonts w:ascii="ARIAL" w:hAnsi="ARIAL"/>
          <w:sz w:val="24"/>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48EC3"/>
          <w:sz w:val="22"/>
        </w:rPr>
      </w:pPr>
      <w:r>
        <w:rPr>
          <w:rFonts w:ascii="ARIAL" w:hAnsi="ARIAL"/>
          <w:b/>
          <w:color w:val="248EC3"/>
          <w:sz w:val="22"/>
        </w:rPr>
        <w:t xml:space="preserve">EXECUTIVE COMPENSATION TABLES </w:t>
      </w:r>
    </w:p>
    <w:p>
      <w:pPr>
        <w:pStyle w:val="TextBody"/>
        <w:bidi w:val="0"/>
        <w:spacing w:before="240" w:after="0"/>
        <w:jc w:val="center"/>
        <w:rPr>
          <w:rFonts w:ascii="ARIAL" w:hAnsi="ARIAL"/>
          <w:b/>
          <w:sz w:val="22"/>
          <w:u w:val="single"/>
        </w:rPr>
      </w:pPr>
      <w:r>
        <w:rPr>
          <w:rFonts w:ascii="ARIAL" w:hAnsi="ARIAL"/>
          <w:b/>
          <w:sz w:val="22"/>
          <w:u w:val="single"/>
        </w:rPr>
        <w:t xml:space="preserve">2025 Summary Compensation Table </w:t>
      </w:r>
    </w:p>
    <w:p>
      <w:pPr>
        <w:pStyle w:val="TextBody"/>
        <w:bidi w:val="0"/>
        <w:spacing w:before="0" w:after="0"/>
        <w:jc w:val="left"/>
        <w:rPr/>
      </w:pPr>
      <w:r>
        <w:rPr/>
        <w:t> </w:t>
      </w:r>
    </w:p>
    <w:tbl>
      <w:tblPr>
        <w:tblW w:w="12020" w:type="dxa"/>
        <w:jc w:val="left"/>
        <w:tblInd w:w="0" w:type="dxa"/>
        <w:tblLayout w:type="fixed"/>
        <w:tblCellMar>
          <w:top w:w="0" w:type="dxa"/>
          <w:left w:w="0" w:type="dxa"/>
          <w:bottom w:w="0" w:type="dxa"/>
          <w:right w:w="0" w:type="dxa"/>
        </w:tblCellMar>
      </w:tblPr>
      <w:tblGrid>
        <w:gridCol w:w="1055"/>
        <w:gridCol w:w="60"/>
        <w:gridCol w:w="60"/>
        <w:gridCol w:w="500"/>
        <w:gridCol w:w="60"/>
        <w:gridCol w:w="60"/>
        <w:gridCol w:w="60"/>
        <w:gridCol w:w="980"/>
        <w:gridCol w:w="60"/>
        <w:gridCol w:w="60"/>
        <w:gridCol w:w="800"/>
        <w:gridCol w:w="60"/>
        <w:gridCol w:w="60"/>
        <w:gridCol w:w="1100"/>
        <w:gridCol w:w="60"/>
        <w:gridCol w:w="60"/>
        <w:gridCol w:w="980"/>
        <w:gridCol w:w="60"/>
        <w:gridCol w:w="1490"/>
        <w:gridCol w:w="60"/>
        <w:gridCol w:w="1490"/>
        <w:gridCol w:w="60"/>
        <w:gridCol w:w="1490"/>
        <w:gridCol w:w="60"/>
        <w:gridCol w:w="60"/>
        <w:gridCol w:w="1100"/>
        <w:gridCol w:w="75"/>
      </w:tblGrid>
      <w:tr>
        <w:trPr/>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55" w:type="dxa"/>
            <w:tcBorders>
              <w:bottom w:val="single" w:sz="6" w:space="0" w:color="000000"/>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Name and</w:t>
            </w:r>
          </w:p>
          <w:p>
            <w:pPr>
              <w:pStyle w:val="TableContents"/>
              <w:bidi w:val="0"/>
              <w:spacing w:before="0" w:after="0"/>
              <w:jc w:val="left"/>
              <w:rPr>
                <w:rFonts w:ascii="ARIAL" w:hAnsi="ARIAL"/>
                <w:b/>
                <w:sz w:val="16"/>
              </w:rPr>
            </w:pPr>
            <w:r>
              <w:rPr>
                <w:rFonts w:ascii="ARIAL" w:hAnsi="ARIAL"/>
                <w:b/>
                <w:sz w:val="16"/>
              </w:rPr>
              <w:t>Principal</w:t>
            </w:r>
          </w:p>
          <w:p>
            <w:pPr>
              <w:pStyle w:val="TableContents"/>
              <w:bidi w:val="0"/>
              <w:spacing w:before="0" w:after="20"/>
              <w:jc w:val="left"/>
              <w:rPr>
                <w:rFonts w:ascii="ARIAL" w:hAnsi="ARIAL"/>
                <w:b/>
                <w:sz w:val="16"/>
              </w:rPr>
            </w:pPr>
            <w:r>
              <w:rPr>
                <w:rFonts w:ascii="ARIAL" w:hAnsi="ARIAL"/>
                <w:b/>
                <w:sz w:val="16"/>
              </w:rPr>
              <w:t>Position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0000"/>
            </w:tcBorders>
            <w:tcMar>
              <w:bottom w:w="60" w:type="dxa"/>
            </w:tcMar>
            <w:vAlign w:val="center"/>
          </w:tcPr>
          <w:p>
            <w:pPr>
              <w:pStyle w:val="TableContents"/>
              <w:bidi w:val="0"/>
              <w:spacing w:before="0" w:after="283"/>
              <w:jc w:val="center"/>
              <w:rPr>
                <w:b/>
              </w:rPr>
            </w:pPr>
            <w:r>
              <w:rPr>
                <w:b/>
              </w:rPr>
              <w:t>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60" w:type="dxa"/>
            </w:tcMar>
            <w:vAlign w:val="center"/>
          </w:tcPr>
          <w:p>
            <w:pPr>
              <w:pStyle w:val="TableContents"/>
              <w:bidi w:val="0"/>
              <w:spacing w:before="0" w:after="283"/>
              <w:jc w:val="center"/>
              <w:rPr>
                <w:b/>
              </w:rPr>
            </w:pPr>
            <w:r>
              <w:rPr>
                <w:b/>
              </w:rPr>
              <w:t>Salary</w:t>
              <w:b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60" w:type="dxa"/>
            </w:tcMar>
            <w:vAlign w:val="center"/>
          </w:tcPr>
          <w:p>
            <w:pPr>
              <w:pStyle w:val="TableContents"/>
              <w:bidi w:val="0"/>
              <w:spacing w:before="0" w:after="283"/>
              <w:jc w:val="center"/>
              <w:rPr>
                <w:b/>
              </w:rPr>
            </w:pPr>
            <w:r>
              <w:rPr>
                <w:b/>
              </w:rPr>
              <w:t>Bonus</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60" w:type="dxa"/>
            </w:tcMar>
            <w:vAlign w:val="center"/>
          </w:tcPr>
          <w:p>
            <w:pPr>
              <w:pStyle w:val="TableContents"/>
              <w:bidi w:val="0"/>
              <w:spacing w:before="0" w:after="283"/>
              <w:jc w:val="center"/>
              <w:rPr>
                <w:b/>
              </w:rPr>
            </w:pPr>
            <w:r>
              <w:rPr>
                <w:b/>
              </w:rPr>
              <w:t>Stock</w:t>
              <w:br/>
              <w:t>Awards</w:t>
              <w:br/>
              <w:t>($)(2)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60" w:type="dxa"/>
            </w:tcMar>
            <w:vAlign w:val="center"/>
          </w:tcPr>
          <w:p>
            <w:pPr>
              <w:pStyle w:val="TableContents"/>
              <w:bidi w:val="0"/>
              <w:spacing w:before="0" w:after="283"/>
              <w:jc w:val="center"/>
              <w:rPr>
                <w:b/>
              </w:rPr>
            </w:pPr>
            <w:r>
              <w:rPr>
                <w:b/>
              </w:rPr>
              <w:t>Option</w:t>
              <w:br/>
              <w:t>Awards</w:t>
              <w:br/>
              <w:t>($)(2)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60" w:type="dxa"/>
            </w:tcMar>
            <w:vAlign w:val="center"/>
          </w:tcPr>
          <w:p>
            <w:pPr>
              <w:pStyle w:val="TableContents"/>
              <w:bidi w:val="0"/>
              <w:spacing w:before="0" w:after="283"/>
              <w:jc w:val="center"/>
              <w:rPr>
                <w:b/>
              </w:rPr>
            </w:pPr>
            <w:r>
              <w:rPr>
                <w:b/>
              </w:rPr>
              <w:t>Non-Equity</w:t>
              <w:br/>
              <w:t>Incentive</w:t>
              <w:br/>
              <w:t>Plan</w:t>
              <w:br/>
              <w:t>Compensation</w:t>
              <w:b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60" w:type="dxa"/>
            </w:tcMar>
            <w:vAlign w:val="center"/>
          </w:tcPr>
          <w:p>
            <w:pPr>
              <w:pStyle w:val="TableContents"/>
              <w:bidi w:val="0"/>
              <w:spacing w:before="0" w:after="283"/>
              <w:jc w:val="center"/>
              <w:rPr>
                <w:b/>
              </w:rPr>
            </w:pPr>
            <w:r>
              <w:rPr>
                <w:b/>
              </w:rPr>
              <w:t>Change In</w:t>
              <w:br/>
              <w:t>Pension</w:t>
              <w:br/>
              <w:t>Value</w:t>
              <w:br/>
              <w:t>and</w:t>
              <w:br/>
              <w:t>Nonqualified</w:t>
              <w:br/>
              <w:t>Deferred</w:t>
              <w:br/>
              <w:t>Compensation</w:t>
              <w:br/>
              <w:t>Earnings</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60" w:type="dxa"/>
            </w:tcMar>
            <w:vAlign w:val="center"/>
          </w:tcPr>
          <w:p>
            <w:pPr>
              <w:pStyle w:val="TableContents"/>
              <w:bidi w:val="0"/>
              <w:spacing w:before="0" w:after="283"/>
              <w:jc w:val="center"/>
              <w:rPr>
                <w:b/>
              </w:rPr>
            </w:pPr>
            <w:r>
              <w:rPr>
                <w:b/>
              </w:rPr>
              <w:t>All Other</w:t>
              <w:br/>
              <w:t>Compensation</w:t>
              <w:br/>
              <w:t>($)(4)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60" w:type="dxa"/>
            </w:tcMar>
            <w:vAlign w:val="center"/>
          </w:tcPr>
          <w:p>
            <w:pPr>
              <w:pStyle w:val="TableContents"/>
              <w:bidi w:val="0"/>
              <w:spacing w:before="0" w:after="283"/>
              <w:jc w:val="center"/>
              <w:rPr>
                <w:b/>
              </w:rPr>
            </w:pPr>
            <w:r>
              <w:rPr>
                <w:b/>
              </w:rPr>
              <w:t>Total</w:t>
              <w:br/>
              <w: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0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055" w:type="dxa"/>
            <w:vMerge w:val="restart"/>
            <w:tcBorders/>
            <w:shd w:fill="D5EBF6" w:val="clear"/>
            <w:vAlign w:val="center"/>
          </w:tcPr>
          <w:p>
            <w:pPr>
              <w:pStyle w:val="TableContents"/>
              <w:bidi w:val="0"/>
              <w:spacing w:before="0" w:after="0"/>
              <w:jc w:val="left"/>
              <w:rPr>
                <w:rFonts w:ascii="ARIAL" w:hAnsi="ARIAL"/>
                <w:sz w:val="16"/>
              </w:rPr>
            </w:pPr>
            <w:r>
              <w:rPr>
                <w:rFonts w:ascii="ARIAL" w:hAnsi="ARIAL"/>
                <w:sz w:val="16"/>
              </w:rPr>
              <w:t>Christopher H. Peterson,</w:t>
            </w:r>
          </w:p>
          <w:p>
            <w:pPr>
              <w:pStyle w:val="TableContents"/>
              <w:bidi w:val="0"/>
              <w:spacing w:before="0" w:after="0"/>
              <w:jc w:val="left"/>
              <w:rPr>
                <w:rFonts w:ascii="ARIAL" w:hAnsi="ARIAL"/>
                <w:sz w:val="16"/>
              </w:rPr>
            </w:pPr>
            <w:r>
              <w:rPr>
                <w:rFonts w:ascii="ARIAL" w:hAnsi="ARIAL"/>
                <w:sz w:val="16"/>
              </w:rPr>
              <w:t>President and Chief</w:t>
            </w:r>
          </w:p>
          <w:p>
            <w:pPr>
              <w:pStyle w:val="TableContents"/>
              <w:bidi w:val="0"/>
              <w:spacing w:before="0" w:after="20"/>
              <w:jc w:val="left"/>
              <w:rPr>
                <w:rFonts w:ascii="ARIAL" w:hAnsi="ARIAL"/>
                <w:sz w:val="16"/>
              </w:rPr>
            </w:pPr>
            <w:r>
              <w:rPr>
                <w:rFonts w:ascii="ARIAL" w:hAnsi="ARIAL"/>
                <w:sz w:val="16"/>
              </w:rPr>
              <w:t>Executive Officer</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shd w:fill="D5EBF6"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2025</w:t>
            </w:r>
          </w:p>
        </w:tc>
        <w:tc>
          <w:tcPr>
            <w:tcW w:w="60"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right"/>
              <w:rPr/>
            </w:pPr>
            <w:r>
              <w:rPr/>
              <w:t>1,341,667</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8,999,993</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1,878,333</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277,919</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12,497,912</w:t>
            </w:r>
          </w:p>
        </w:tc>
        <w:tc>
          <w:tcPr>
            <w:tcW w:w="75" w:type="dxa"/>
            <w:tcBorders/>
            <w:shd w:fill="D5EBF6" w:val="clear"/>
            <w:vAlign w:val="center"/>
          </w:tcPr>
          <w:p>
            <w:pPr>
              <w:pStyle w:val="TableContents"/>
              <w:bidi w:val="0"/>
              <w:spacing w:before="0" w:after="283"/>
              <w:jc w:val="left"/>
              <w:rPr/>
            </w:pPr>
            <w:r>
              <w:rPr/>
              <w:t> </w:t>
            </w:r>
          </w:p>
        </w:tc>
      </w:tr>
      <w:tr>
        <w:trPr/>
        <w:tc>
          <w:tcPr>
            <w:tcW w:w="1055" w:type="dxa"/>
            <w:vMerge w:val="continue"/>
            <w:tcBorders/>
            <w:shd w:fill="D5EBF6" w:val="clear"/>
            <w:vAlign w:val="center"/>
          </w:tcPr>
          <w:p>
            <w:pPr>
              <w:pStyle w:val="Normal"/>
              <w:bidi w:val="0"/>
              <w:jc w:val="left"/>
              <w:rPr/>
            </w:pPr>
            <w:r>
              <w:rPr/>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500" w:type="dxa"/>
            <w:tcBorders/>
            <w:shd w:fill="D5EBF6" w:val="clear"/>
            <w:vAlign w:val="center"/>
          </w:tcPr>
          <w:p>
            <w:pPr>
              <w:pStyle w:val="TableContents"/>
              <w:bidi w:val="0"/>
              <w:spacing w:before="0" w:after="283"/>
              <w:jc w:val="right"/>
              <w:rPr/>
            </w:pPr>
            <w:r>
              <w:rPr/>
              <w:t>2024</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right"/>
              <w:rPr/>
            </w:pPr>
            <w:r>
              <w:rPr/>
              <w:t>1,300,000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7,499,987</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3,276,000</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316,073</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12,392,060</w:t>
            </w:r>
          </w:p>
        </w:tc>
        <w:tc>
          <w:tcPr>
            <w:tcW w:w="75" w:type="dxa"/>
            <w:tcBorders/>
            <w:shd w:fill="D5EBF6" w:val="clear"/>
            <w:vAlign w:val="center"/>
          </w:tcPr>
          <w:p>
            <w:pPr>
              <w:pStyle w:val="TableContents"/>
              <w:bidi w:val="0"/>
              <w:spacing w:before="0" w:after="283"/>
              <w:jc w:val="left"/>
              <w:rPr/>
            </w:pPr>
            <w:r>
              <w:rPr/>
              <w:t> </w:t>
            </w:r>
          </w:p>
        </w:tc>
      </w:tr>
      <w:tr>
        <w:trPr/>
        <w:tc>
          <w:tcPr>
            <w:tcW w:w="1055" w:type="dxa"/>
            <w:vMerge w:val="continue"/>
            <w:tcBorders/>
            <w:shd w:fill="D5EBF6" w:val="clear"/>
            <w:vAlign w:val="center"/>
          </w:tcPr>
          <w:p>
            <w:pPr>
              <w:pStyle w:val="Normal"/>
              <w:bidi w:val="0"/>
              <w:jc w:val="left"/>
              <w:rPr/>
            </w:pPr>
            <w:r>
              <w:rPr/>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jc w:val="left"/>
              <w:rPr/>
            </w:pPr>
            <w:r>
              <w:rPr/>
              <w:t> </w:t>
            </w:r>
          </w:p>
          <w:p>
            <w:pPr>
              <w:pStyle w:val="TableContents"/>
              <w:bidi w:val="0"/>
              <w:spacing w:before="0" w:after="20"/>
              <w:jc w:val="left"/>
              <w:rPr/>
            </w:pPr>
            <w:r>
              <w:rPr/>
              <w:t> </w:t>
            </w:r>
          </w:p>
        </w:tc>
        <w:tc>
          <w:tcPr>
            <w:tcW w:w="500" w:type="dxa"/>
            <w:tcBorders/>
            <w:shd w:fill="D5EBF6" w:val="clear"/>
            <w:vAlign w:val="center"/>
          </w:tcPr>
          <w:p>
            <w:pPr>
              <w:pStyle w:val="TableContents"/>
              <w:bidi w:val="0"/>
              <w:jc w:val="right"/>
              <w:rPr/>
            </w:pPr>
            <w:r>
              <w:rPr/>
              <w:t>2023</w:t>
            </w:r>
          </w:p>
          <w:p>
            <w:pPr>
              <w:pStyle w:val="TableContents"/>
              <w:bidi w:val="0"/>
              <w:spacing w:before="0" w:after="20"/>
              <w:jc w:val="left"/>
              <w:rPr/>
            </w:pPr>
            <w:r>
              <w:rPr/>
              <w:t> </w:t>
            </w:r>
          </w:p>
        </w:tc>
        <w:tc>
          <w:tcPr>
            <w:tcW w:w="60" w:type="dxa"/>
            <w:tcBorders/>
            <w:shd w:fill="D5EBF6"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right"/>
              <w:rPr/>
            </w:pPr>
            <w:r>
              <w:rPr/>
              <w:t>1,150,000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22,612,298</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1,575,038</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199,371</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25,536,707</w:t>
            </w:r>
          </w:p>
        </w:tc>
        <w:tc>
          <w:tcPr>
            <w:tcW w:w="75" w:type="dxa"/>
            <w:tcBorders/>
            <w:shd w:fill="D5EBF6" w:val="clear"/>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rFonts w:ascii="ARIAL" w:hAnsi="ARIAL"/>
                <w:sz w:val="16"/>
              </w:rPr>
            </w:pPr>
            <w:r>
              <w:rPr>
                <w:rFonts w:ascii="ARIAL" w:hAnsi="ARIAL"/>
                <w:sz w:val="16"/>
              </w:rPr>
              <w:t>Mark J. Erceg,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820,833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3,918,742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788,000</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123,041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5,650,616</w:t>
            </w:r>
          </w:p>
        </w:tc>
        <w:tc>
          <w:tcPr>
            <w:tcW w:w="75" w:type="dxa"/>
            <w:tcBorders/>
            <w:vAlign w:val="center"/>
          </w:tcPr>
          <w:p>
            <w:pPr>
              <w:pStyle w:val="TableContents"/>
              <w:bidi w:val="0"/>
              <w:spacing w:before="0" w:after="283"/>
              <w:jc w:val="left"/>
              <w:rPr/>
            </w:pPr>
            <w:r>
              <w:rPr/>
              <w:t> </w:t>
            </w:r>
          </w:p>
        </w:tc>
      </w:tr>
      <w:tr>
        <w:trPr/>
        <w:tc>
          <w:tcPr>
            <w:tcW w:w="1055" w:type="dxa"/>
            <w:vMerge w:val="restart"/>
            <w:tcBorders/>
            <w:vAlign w:val="center"/>
          </w:tcPr>
          <w:p>
            <w:pPr>
              <w:pStyle w:val="TableContents"/>
              <w:bidi w:val="0"/>
              <w:spacing w:before="0" w:after="0"/>
              <w:jc w:val="left"/>
              <w:rPr>
                <w:rFonts w:ascii="ARIAL" w:hAnsi="ARIAL"/>
                <w:sz w:val="16"/>
              </w:rPr>
            </w:pPr>
            <w:r>
              <w:rPr>
                <w:rFonts w:ascii="ARIAL" w:hAnsi="ARIAL"/>
                <w:sz w:val="16"/>
              </w:rPr>
              <w:t>Chief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3,599,991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1,612,800</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173,147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6,185,938</w:t>
            </w:r>
          </w:p>
        </w:tc>
        <w:tc>
          <w:tcPr>
            <w:tcW w:w="75" w:type="dxa"/>
            <w:tcBorders/>
            <w:vAlign w:val="center"/>
          </w:tcPr>
          <w:p>
            <w:pPr>
              <w:pStyle w:val="TableContents"/>
              <w:bidi w:val="0"/>
              <w:spacing w:before="0" w:after="283"/>
              <w:jc w:val="left"/>
              <w:rPr/>
            </w:pPr>
            <w:r>
              <w:rPr/>
              <w:t> </w:t>
            </w:r>
          </w:p>
        </w:tc>
      </w:tr>
      <w:tr>
        <w:trPr/>
        <w:tc>
          <w:tcPr>
            <w:tcW w:w="10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10,854,350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1,424,636</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911,800</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223,546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14,197,665</w:t>
            </w:r>
          </w:p>
        </w:tc>
        <w:tc>
          <w:tcPr>
            <w:tcW w:w="75" w:type="dxa"/>
            <w:tcBorders/>
            <w:vAlign w:val="center"/>
          </w:tcPr>
          <w:p>
            <w:pPr>
              <w:pStyle w:val="TableContents"/>
              <w:bidi w:val="0"/>
              <w:spacing w:before="0" w:after="283"/>
              <w:jc w:val="left"/>
              <w:rPr/>
            </w:pPr>
            <w:r>
              <w:rPr/>
              <w:t> </w:t>
            </w:r>
          </w:p>
        </w:tc>
      </w:tr>
      <w:tr>
        <w:trPr/>
        <w:tc>
          <w:tcPr>
            <w:tcW w:w="1055" w:type="dxa"/>
            <w:vMerge w:val="restart"/>
            <w:tcBorders/>
            <w:shd w:fill="D5EBF6" w:val="clear"/>
            <w:vAlign w:val="center"/>
          </w:tcPr>
          <w:p>
            <w:pPr>
              <w:pStyle w:val="TableContents"/>
              <w:bidi w:val="0"/>
              <w:spacing w:before="0" w:after="0"/>
              <w:jc w:val="left"/>
              <w:rPr>
                <w:rFonts w:ascii="ARIAL" w:hAnsi="ARIAL"/>
                <w:sz w:val="16"/>
              </w:rPr>
            </w:pPr>
            <w:r>
              <w:rPr>
                <w:rFonts w:ascii="ARIAL" w:hAnsi="ARIAL"/>
                <w:sz w:val="16"/>
              </w:rPr>
              <w:t>Bradford R. Turner,</w:t>
            </w:r>
          </w:p>
          <w:p>
            <w:pPr>
              <w:pStyle w:val="TableContents"/>
              <w:bidi w:val="0"/>
              <w:spacing w:before="0" w:after="0"/>
              <w:jc w:val="left"/>
              <w:rPr>
                <w:rFonts w:ascii="ARIAL" w:hAnsi="ARIAL"/>
                <w:sz w:val="16"/>
              </w:rPr>
            </w:pPr>
            <w:r>
              <w:rPr>
                <w:rFonts w:ascii="ARIAL" w:hAnsi="ARIAL"/>
                <w:sz w:val="16"/>
              </w:rPr>
              <w:t>Chief Legal and Administrative</w:t>
            </w:r>
          </w:p>
          <w:p>
            <w:pPr>
              <w:pStyle w:val="TableContents"/>
              <w:bidi w:val="0"/>
              <w:spacing w:before="0" w:after="20"/>
              <w:jc w:val="left"/>
              <w:rPr>
                <w:rFonts w:ascii="ARIAL" w:hAnsi="ARIAL"/>
                <w:sz w:val="16"/>
              </w:rPr>
            </w:pPr>
            <w:r>
              <w:rPr>
                <w:rFonts w:ascii="ARIAL" w:hAnsi="ARIAL"/>
                <w:sz w:val="16"/>
              </w:rPr>
              <w:t>Officer and Corporate Secretary</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shd w:fill="D5EBF6"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2025</w:t>
            </w:r>
          </w:p>
        </w:tc>
        <w:tc>
          <w:tcPr>
            <w:tcW w:w="60"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right"/>
              <w:rPr/>
            </w:pPr>
            <w:r>
              <w:rPr/>
              <w:t>745,833</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1,949,988</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626,500</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108,903</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3,431,224</w:t>
            </w:r>
          </w:p>
        </w:tc>
        <w:tc>
          <w:tcPr>
            <w:tcW w:w="75" w:type="dxa"/>
            <w:tcBorders/>
            <w:shd w:fill="D5EBF6" w:val="clear"/>
            <w:vAlign w:val="center"/>
          </w:tcPr>
          <w:p>
            <w:pPr>
              <w:pStyle w:val="TableContents"/>
              <w:bidi w:val="0"/>
              <w:spacing w:before="0" w:after="283"/>
              <w:jc w:val="left"/>
              <w:rPr/>
            </w:pPr>
            <w:r>
              <w:rPr/>
              <w:t> </w:t>
            </w:r>
          </w:p>
        </w:tc>
      </w:tr>
      <w:tr>
        <w:trPr/>
        <w:tc>
          <w:tcPr>
            <w:tcW w:w="1055" w:type="dxa"/>
            <w:vMerge w:val="continue"/>
            <w:tcBorders/>
            <w:shd w:fill="D5EBF6" w:val="clear"/>
            <w:vAlign w:val="center"/>
          </w:tcPr>
          <w:p>
            <w:pPr>
              <w:pStyle w:val="Normal"/>
              <w:bidi w:val="0"/>
              <w:jc w:val="left"/>
              <w:rPr/>
            </w:pPr>
            <w:r>
              <w:rPr/>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500" w:type="dxa"/>
            <w:tcBorders/>
            <w:shd w:fill="D5EBF6" w:val="clear"/>
            <w:vAlign w:val="center"/>
          </w:tcPr>
          <w:p>
            <w:pPr>
              <w:pStyle w:val="TableContents"/>
              <w:bidi w:val="0"/>
              <w:spacing w:before="0" w:after="283"/>
              <w:jc w:val="right"/>
              <w:rPr/>
            </w:pPr>
            <w:r>
              <w:rPr/>
              <w:t>2024</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right"/>
              <w:rPr/>
            </w:pPr>
            <w:r>
              <w:rPr/>
              <w:t>725,000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1,812,498</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1,218,000</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140,716</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3,896,214</w:t>
            </w:r>
          </w:p>
        </w:tc>
        <w:tc>
          <w:tcPr>
            <w:tcW w:w="75" w:type="dxa"/>
            <w:tcBorders/>
            <w:shd w:fill="D5EBF6" w:val="clear"/>
            <w:vAlign w:val="center"/>
          </w:tcPr>
          <w:p>
            <w:pPr>
              <w:pStyle w:val="TableContents"/>
              <w:bidi w:val="0"/>
              <w:spacing w:before="0" w:after="283"/>
              <w:jc w:val="left"/>
              <w:rPr/>
            </w:pPr>
            <w:r>
              <w:rPr/>
              <w:t> </w:t>
            </w:r>
          </w:p>
        </w:tc>
      </w:tr>
      <w:tr>
        <w:trPr/>
        <w:tc>
          <w:tcPr>
            <w:tcW w:w="1055" w:type="dxa"/>
            <w:vMerge w:val="continue"/>
            <w:tcBorders/>
            <w:shd w:fill="D5EBF6" w:val="clear"/>
            <w:vAlign w:val="center"/>
          </w:tcPr>
          <w:p>
            <w:pPr>
              <w:pStyle w:val="Normal"/>
              <w:bidi w:val="0"/>
              <w:jc w:val="left"/>
              <w:rPr/>
            </w:pPr>
            <w:r>
              <w:rPr/>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jc w:val="left"/>
              <w:rPr/>
            </w:pPr>
            <w:r>
              <w:rPr/>
              <w:t> </w:t>
            </w:r>
          </w:p>
          <w:p>
            <w:pPr>
              <w:pStyle w:val="TableContents"/>
              <w:bidi w:val="0"/>
              <w:spacing w:before="0" w:after="20"/>
              <w:jc w:val="left"/>
              <w:rPr/>
            </w:pPr>
            <w:r>
              <w:rPr/>
              <w:t> </w:t>
            </w:r>
          </w:p>
        </w:tc>
        <w:tc>
          <w:tcPr>
            <w:tcW w:w="500" w:type="dxa"/>
            <w:tcBorders/>
            <w:shd w:fill="D5EBF6" w:val="clear"/>
            <w:vAlign w:val="center"/>
          </w:tcPr>
          <w:p>
            <w:pPr>
              <w:pStyle w:val="TableContents"/>
              <w:bidi w:val="0"/>
              <w:jc w:val="right"/>
              <w:rPr/>
            </w:pPr>
            <w:r>
              <w:rPr/>
              <w:t>2023</w:t>
            </w:r>
          </w:p>
          <w:p>
            <w:pPr>
              <w:pStyle w:val="TableContents"/>
              <w:bidi w:val="0"/>
              <w:spacing w:before="0" w:after="20"/>
              <w:jc w:val="left"/>
              <w:rPr/>
            </w:pPr>
            <w:r>
              <w:rPr/>
              <w:t> </w:t>
            </w:r>
          </w:p>
        </w:tc>
        <w:tc>
          <w:tcPr>
            <w:tcW w:w="60" w:type="dxa"/>
            <w:tcBorders/>
            <w:shd w:fill="D5EBF6"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right"/>
              <w:rPr/>
            </w:pPr>
            <w:r>
              <w:rPr/>
              <w:t>720,833</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before="0" w:after="283"/>
              <w:jc w:val="center"/>
              <w:rPr/>
            </w:pPr>
            <w:r>
              <w:rPr/>
              <w:t>543,750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5,174,877</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699,208</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112,285</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7,250,953</w:t>
            </w:r>
          </w:p>
        </w:tc>
        <w:tc>
          <w:tcPr>
            <w:tcW w:w="75" w:type="dxa"/>
            <w:tcBorders/>
            <w:shd w:fill="D5EBF6" w:val="clear"/>
            <w:vAlign w:val="center"/>
          </w:tcPr>
          <w:p>
            <w:pPr>
              <w:pStyle w:val="TableContents"/>
              <w:bidi w:val="0"/>
              <w:spacing w:before="0" w:after="283"/>
              <w:jc w:val="left"/>
              <w:rPr/>
            </w:pPr>
            <w:r>
              <w:rPr/>
              <w:t> </w:t>
            </w:r>
          </w:p>
        </w:tc>
      </w:tr>
      <w:tr>
        <w:trPr/>
        <w:tc>
          <w:tcPr>
            <w:tcW w:w="1055" w:type="dxa"/>
            <w:vMerge w:val="restart"/>
            <w:tcBorders/>
            <w:vAlign w:val="center"/>
          </w:tcPr>
          <w:p>
            <w:pPr>
              <w:pStyle w:val="TableContents"/>
              <w:bidi w:val="0"/>
              <w:spacing w:before="0" w:after="0"/>
              <w:jc w:val="left"/>
              <w:rPr>
                <w:rFonts w:ascii="ARIAL" w:hAnsi="ARIAL"/>
                <w:sz w:val="16"/>
              </w:rPr>
            </w:pPr>
            <w:r>
              <w:rPr>
                <w:rFonts w:ascii="ARIAL" w:hAnsi="ARIAL"/>
                <w:sz w:val="16"/>
              </w:rPr>
              <w:t>Tracy L. Platt, Chief Human</w:t>
            </w:r>
          </w:p>
          <w:p>
            <w:pPr>
              <w:pStyle w:val="TableContents"/>
              <w:bidi w:val="0"/>
              <w:spacing w:before="0" w:after="20"/>
              <w:jc w:val="left"/>
              <w:rPr>
                <w:rFonts w:ascii="ARIAL" w:hAnsi="ARIAL"/>
                <w:sz w:val="16"/>
              </w:rPr>
            </w:pPr>
            <w:r>
              <w:rPr>
                <w:rFonts w:ascii="ARIAL" w:hAnsi="ARIAL"/>
                <w:sz w:val="16"/>
              </w:rPr>
              <w:t>Resources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0"/>
              <w:jc w:val="left"/>
              <w:rPr/>
            </w:pPr>
            <w:r>
              <w:rPr/>
              <w:t> </w:t>
            </w:r>
          </w:p>
        </w:tc>
        <w:tc>
          <w:tcPr>
            <w:tcW w:w="500" w:type="dxa"/>
            <w:tcBorders/>
            <w:vAlign w:val="center"/>
          </w:tcPr>
          <w:p>
            <w:pPr>
              <w:pStyle w:val="TableContents"/>
              <w:bidi w:val="0"/>
              <w:spacing w:before="0" w:after="20"/>
              <w:jc w:val="right"/>
              <w:rPr>
                <w:rFonts w:ascii="ARIAL" w:hAnsi="ARIAL"/>
                <w:sz w:val="16"/>
              </w:rPr>
            </w:pPr>
            <w:r>
              <w:rPr>
                <w:rFonts w:ascii="ARIAL" w:hAnsi="ARIAL"/>
                <w:sz w:val="16"/>
              </w:rPr>
              <w:t>2025</w:t>
            </w:r>
          </w:p>
        </w:tc>
        <w:tc>
          <w:tcPr>
            <w:tcW w:w="60" w:type="dxa"/>
            <w:tcBorders/>
            <w:vAlign w:val="center"/>
          </w:tcPr>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1,788,499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522,000</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98,390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3,133,889</w:t>
            </w:r>
          </w:p>
        </w:tc>
        <w:tc>
          <w:tcPr>
            <w:tcW w:w="75" w:type="dxa"/>
            <w:tcBorders/>
            <w:vAlign w:val="center"/>
          </w:tcPr>
          <w:p>
            <w:pPr>
              <w:pStyle w:val="TableContents"/>
              <w:bidi w:val="0"/>
              <w:spacing w:before="0" w:after="283"/>
              <w:jc w:val="left"/>
              <w:rPr/>
            </w:pPr>
            <w:r>
              <w:rPr/>
              <w:t> </w:t>
            </w:r>
          </w:p>
        </w:tc>
      </w:tr>
      <w:tr>
        <w:trPr/>
        <w:tc>
          <w:tcPr>
            <w:tcW w:w="10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1,644,985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999,600</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275,387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3,619,972</w:t>
            </w:r>
          </w:p>
        </w:tc>
        <w:tc>
          <w:tcPr>
            <w:tcW w:w="75" w:type="dxa"/>
            <w:tcBorders/>
            <w:vAlign w:val="center"/>
          </w:tcPr>
          <w:p>
            <w:pPr>
              <w:pStyle w:val="TableContents"/>
              <w:bidi w:val="0"/>
              <w:spacing w:before="0" w:after="283"/>
              <w:jc w:val="left"/>
              <w:rPr/>
            </w:pPr>
            <w:r>
              <w:rPr/>
              <w:t> </w:t>
            </w:r>
          </w:p>
        </w:tc>
      </w:tr>
      <w:tr>
        <w:trPr/>
        <w:tc>
          <w:tcPr>
            <w:tcW w:w="10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55" w:type="dxa"/>
            <w:tcBorders/>
            <w:shd w:fill="D5EBF6" w:val="clear"/>
            <w:vAlign w:val="center"/>
          </w:tcPr>
          <w:p>
            <w:pPr>
              <w:pStyle w:val="TableContents"/>
              <w:bidi w:val="0"/>
              <w:spacing w:before="0" w:after="283"/>
              <w:jc w:val="left"/>
              <w:rPr>
                <w:sz w:val="4"/>
                <w:szCs w:val="4"/>
              </w:rPr>
            </w:pPr>
            <w:r>
              <w:rPr>
                <w:sz w:val="4"/>
                <w:szCs w:val="4"/>
              </w:rPr>
            </w:r>
          </w:p>
        </w:tc>
        <w:tc>
          <w:tcPr>
            <w:tcW w:w="680" w:type="dxa"/>
            <w:gridSpan w:val="4"/>
            <w:tcBorders/>
            <w:shd w:fill="D5EBF6" w:val="clear"/>
            <w:vAlign w:val="center"/>
          </w:tcPr>
          <w:p>
            <w:pPr>
              <w:pStyle w:val="TableContents"/>
              <w:bidi w:val="0"/>
              <w:spacing w:before="0" w:after="283"/>
              <w:jc w:val="left"/>
              <w:rPr>
                <w:sz w:val="4"/>
                <w:szCs w:val="4"/>
              </w:rPr>
            </w:pPr>
            <w:r>
              <w:rPr>
                <w:sz w:val="4"/>
                <w:szCs w:val="4"/>
              </w:rPr>
            </w:r>
          </w:p>
        </w:tc>
        <w:tc>
          <w:tcPr>
            <w:tcW w:w="1160" w:type="dxa"/>
            <w:gridSpan w:val="4"/>
            <w:tcBorders/>
            <w:shd w:fill="D5EBF6" w:val="clear"/>
            <w:vAlign w:val="center"/>
          </w:tcPr>
          <w:p>
            <w:pPr>
              <w:pStyle w:val="TableContents"/>
              <w:bidi w:val="0"/>
              <w:spacing w:before="0" w:after="283"/>
              <w:jc w:val="left"/>
              <w:rPr>
                <w:sz w:val="4"/>
                <w:szCs w:val="4"/>
              </w:rPr>
            </w:pPr>
            <w:r>
              <w:rPr>
                <w:sz w:val="4"/>
                <w:szCs w:val="4"/>
              </w:rPr>
            </w:r>
          </w:p>
        </w:tc>
        <w:tc>
          <w:tcPr>
            <w:tcW w:w="8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4"/>
            <w:tcBorders/>
            <w:shd w:fill="D5EBF6" w:val="clear"/>
            <w:vAlign w:val="center"/>
          </w:tcPr>
          <w:p>
            <w:pPr>
              <w:pStyle w:val="TableContents"/>
              <w:bidi w:val="0"/>
              <w:spacing w:before="0" w:after="283"/>
              <w:jc w:val="left"/>
              <w:rPr>
                <w:sz w:val="4"/>
                <w:szCs w:val="4"/>
              </w:rPr>
            </w:pPr>
            <w:r>
              <w:rPr>
                <w:sz w:val="4"/>
                <w:szCs w:val="4"/>
              </w:rPr>
            </w:r>
          </w:p>
        </w:tc>
        <w:tc>
          <w:tcPr>
            <w:tcW w:w="104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c>
          <w:tcPr>
            <w:tcW w:w="129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055" w:type="dxa"/>
            <w:vMerge w:val="restart"/>
            <w:tcBorders/>
            <w:shd w:fill="D5EBF6" w:val="clear"/>
            <w:vAlign w:val="center"/>
          </w:tcPr>
          <w:p>
            <w:pPr>
              <w:pStyle w:val="TableContents"/>
              <w:bidi w:val="0"/>
              <w:spacing w:before="0" w:after="0"/>
              <w:jc w:val="left"/>
              <w:rPr>
                <w:rFonts w:ascii="ARIAL" w:hAnsi="ARIAL"/>
                <w:sz w:val="16"/>
              </w:rPr>
            </w:pPr>
            <w:r>
              <w:rPr>
                <w:rFonts w:ascii="ARIAL" w:hAnsi="ARIAL"/>
                <w:sz w:val="16"/>
              </w:rPr>
              <w:t>Kristine K. Malkoski,</w:t>
            </w:r>
          </w:p>
          <w:p>
            <w:pPr>
              <w:pStyle w:val="TableContents"/>
              <w:bidi w:val="0"/>
              <w:spacing w:before="0" w:after="0"/>
              <w:jc w:val="left"/>
              <w:rPr>
                <w:rFonts w:ascii="ARIAL" w:hAnsi="ARIAL"/>
                <w:sz w:val="16"/>
              </w:rPr>
            </w:pPr>
            <w:r>
              <w:rPr>
                <w:rFonts w:ascii="ARIAL" w:hAnsi="ARIAL"/>
                <w:sz w:val="16"/>
              </w:rPr>
              <w:t>President, Learning</w:t>
            </w:r>
          </w:p>
          <w:p>
            <w:pPr>
              <w:pStyle w:val="TableContents"/>
              <w:bidi w:val="0"/>
              <w:spacing w:before="0" w:after="0"/>
              <w:jc w:val="left"/>
              <w:rPr>
                <w:rFonts w:ascii="ARIAL" w:hAnsi="ARIAL"/>
                <w:sz w:val="16"/>
              </w:rPr>
            </w:pPr>
            <w:r>
              <w:rPr>
                <w:rFonts w:ascii="ARIAL" w:hAnsi="ARIAL"/>
                <w:sz w:val="16"/>
              </w:rPr>
              <w:t>and</w:t>
            </w:r>
          </w:p>
          <w:p>
            <w:pPr>
              <w:pStyle w:val="TableContents"/>
              <w:bidi w:val="0"/>
              <w:spacing w:before="0" w:after="0"/>
              <w:jc w:val="left"/>
              <w:rPr>
                <w:rFonts w:ascii="ARIAL" w:hAnsi="ARIAL"/>
                <w:sz w:val="16"/>
              </w:rPr>
            </w:pPr>
            <w:r>
              <w:rPr>
                <w:rFonts w:ascii="ARIAL" w:hAnsi="ARIAL"/>
                <w:sz w:val="16"/>
              </w:rPr>
              <w:t>Development</w:t>
            </w:r>
          </w:p>
          <w:p>
            <w:pPr>
              <w:pStyle w:val="TableContents"/>
              <w:bidi w:val="0"/>
              <w:spacing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00" w:type="dxa"/>
            <w:tcBorders/>
            <w:shd w:fill="D5EBF6"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2025</w:t>
            </w:r>
          </w:p>
        </w:tc>
        <w:tc>
          <w:tcPr>
            <w:tcW w:w="60" w:type="dxa"/>
            <w:tcBorders/>
            <w:shd w:fill="D5EBF6"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right"/>
              <w:rPr/>
            </w:pPr>
            <w:r>
              <w:rPr/>
              <w:t>720,833</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1,449,986</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739,575</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88,940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2,999,334</w:t>
            </w:r>
          </w:p>
        </w:tc>
        <w:tc>
          <w:tcPr>
            <w:tcW w:w="75" w:type="dxa"/>
            <w:tcBorders/>
            <w:shd w:fill="D5EBF6" w:val="clear"/>
            <w:vAlign w:val="center"/>
          </w:tcPr>
          <w:p>
            <w:pPr>
              <w:pStyle w:val="TableContents"/>
              <w:bidi w:val="0"/>
              <w:spacing w:before="0" w:after="283"/>
              <w:jc w:val="left"/>
              <w:rPr/>
            </w:pPr>
            <w:r>
              <w:rPr/>
              <w:t> </w:t>
            </w:r>
          </w:p>
        </w:tc>
      </w:tr>
      <w:tr>
        <w:trPr/>
        <w:tc>
          <w:tcPr>
            <w:tcW w:w="1055" w:type="dxa"/>
            <w:vMerge w:val="continue"/>
            <w:tcBorders/>
            <w:shd w:fill="D5EBF6" w:val="clear"/>
            <w:vAlign w:val="center"/>
          </w:tcPr>
          <w:p>
            <w:pPr>
              <w:pStyle w:val="Normal"/>
              <w:bidi w:val="0"/>
              <w:jc w:val="left"/>
              <w:rPr/>
            </w:pPr>
            <w:r>
              <w:rPr/>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500" w:type="dxa"/>
            <w:tcBorders/>
            <w:shd w:fill="D5EBF6" w:val="clear"/>
            <w:vAlign w:val="center"/>
          </w:tcPr>
          <w:p>
            <w:pPr>
              <w:pStyle w:val="TableContents"/>
              <w:bidi w:val="0"/>
              <w:spacing w:before="0" w:after="283"/>
              <w:jc w:val="right"/>
              <w:rPr/>
            </w:pPr>
            <w:r>
              <w:rPr/>
              <w:t>2024</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right"/>
              <w:rPr/>
            </w:pPr>
            <w:r>
              <w:rPr/>
              <w:t>700,000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1,399,990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1,023,400</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44,836</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3,168,226</w:t>
            </w:r>
          </w:p>
        </w:tc>
        <w:tc>
          <w:tcPr>
            <w:tcW w:w="75" w:type="dxa"/>
            <w:tcBorders/>
            <w:shd w:fill="D5EBF6" w:val="clear"/>
            <w:vAlign w:val="center"/>
          </w:tcPr>
          <w:p>
            <w:pPr>
              <w:pStyle w:val="TableContents"/>
              <w:bidi w:val="0"/>
              <w:spacing w:before="0" w:after="283"/>
              <w:jc w:val="left"/>
              <w:rPr/>
            </w:pPr>
            <w:r>
              <w:rPr/>
              <w:t> </w:t>
            </w:r>
          </w:p>
        </w:tc>
      </w:tr>
      <w:tr>
        <w:trPr/>
        <w:tc>
          <w:tcPr>
            <w:tcW w:w="1055" w:type="dxa"/>
            <w:vMerge w:val="continue"/>
            <w:tcBorders/>
            <w:shd w:fill="D5EBF6" w:val="clear"/>
            <w:vAlign w:val="center"/>
          </w:tcPr>
          <w:p>
            <w:pPr>
              <w:pStyle w:val="Normal"/>
              <w:bidi w:val="0"/>
              <w:jc w:val="left"/>
              <w:rPr/>
            </w:pPr>
            <w:r>
              <w:rPr/>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jc w:val="left"/>
              <w:rPr/>
            </w:pPr>
            <w:r>
              <w:rPr/>
              <w:t> </w:t>
            </w:r>
          </w:p>
          <w:p>
            <w:pPr>
              <w:pStyle w:val="TableContents"/>
              <w:bidi w:val="0"/>
              <w:spacing w:before="0" w:after="20"/>
              <w:jc w:val="left"/>
              <w:rPr/>
            </w:pPr>
            <w:r>
              <w:rPr/>
              <w:t> </w:t>
            </w:r>
          </w:p>
        </w:tc>
        <w:tc>
          <w:tcPr>
            <w:tcW w:w="500" w:type="dxa"/>
            <w:tcBorders/>
            <w:shd w:fill="D5EBF6" w:val="clear"/>
            <w:vAlign w:val="center"/>
          </w:tcPr>
          <w:p>
            <w:pPr>
              <w:pStyle w:val="TableContents"/>
              <w:bidi w:val="0"/>
              <w:jc w:val="right"/>
              <w:rPr/>
            </w:pPr>
            <w:r>
              <w:rPr/>
              <w:t>2023</w:t>
            </w:r>
          </w:p>
          <w:p>
            <w:pPr>
              <w:pStyle w:val="TableContents"/>
              <w:bidi w:val="0"/>
              <w:spacing w:before="0" w:after="20"/>
              <w:jc w:val="left"/>
              <w:rPr/>
            </w:pPr>
            <w:r>
              <w:rPr/>
              <w:t> </w:t>
            </w:r>
          </w:p>
        </w:tc>
        <w:tc>
          <w:tcPr>
            <w:tcW w:w="60" w:type="dxa"/>
            <w:tcBorders/>
            <w:shd w:fill="D5EBF6"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right"/>
              <w:rPr/>
            </w:pPr>
            <w:r>
              <w:rPr/>
              <w:t>687,500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before="0" w:after="283"/>
              <w:jc w:val="center"/>
              <w:rPr/>
            </w:pPr>
            <w:r>
              <w:rPr/>
              <w:t>327,188</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3,579,698</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98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514,250</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43,936</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right"/>
              <w:rPr/>
            </w:pPr>
            <w:r>
              <w:rPr/>
              <w:t>5,152,572</w:t>
            </w:r>
          </w:p>
        </w:tc>
        <w:tc>
          <w:tcPr>
            <w:tcW w:w="75" w:type="dxa"/>
            <w:tcBorders/>
            <w:shd w:fill="D5EBF6" w:val="clear"/>
            <w:vAlign w:val="center"/>
          </w:tcPr>
          <w:p>
            <w:pPr>
              <w:pStyle w:val="TableContents"/>
              <w:bidi w:val="0"/>
              <w:spacing w:before="0" w:after="283"/>
              <w:jc w:val="left"/>
              <w:rPr/>
            </w:pPr>
            <w:r>
              <w:rPr/>
              <w:t> </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ARIAL" w:hAnsi="ARIAL"/>
                <w:sz w:val="18"/>
              </w:rPr>
            </w:pPr>
            <w:r>
              <w:rPr>
                <w:rFonts w:ascii="ARIAL" w:hAnsi="ARIAL"/>
                <w:i/>
                <w:sz w:val="18"/>
                <w:u w:val="single"/>
              </w:rPr>
              <w:t>Salary</w:t>
            </w:r>
            <w:r>
              <w:rPr>
                <w:rFonts w:ascii="ARIAL" w:hAnsi="ARIAL"/>
                <w:sz w:val="18"/>
                <w:u w:val="single"/>
              </w:rPr>
              <w:t>.</w:t>
            </w:r>
            <w:r>
              <w:rPr>
                <w:rFonts w:ascii="ARIAL" w:hAnsi="ARIAL"/>
                <w:sz w:val="18"/>
              </w:rPr>
              <w:t xml:space="preserve"> This column shows the salaries earned in the years indicated by each of the named executive officers. Salary increases, if any, for each year are generally approved in February of that year or in connection with the named executive officer’s promotion. Effective March 2025, Mr. Peterson’s base salary rate increased from $1,300,000 to $1,350,000, Mr. Erceg’s base salary rate increased from $800,000 to $825,000, Mr. Turner’s base salary rate increased from $725,000 to $750,000, Ms. Platt’s base salary rate increased from $700,000 to $730,000 and Ms. Malkoski’s base salary rate increased from $700,000 to $725,000, in each case based on the Committee’s consideration of market data and evaluation of each individual’s performance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both"/>
              <w:rPr>
                <w:rFonts w:ascii="ARIAL" w:hAnsi="ARIAL"/>
                <w:sz w:val="18"/>
              </w:rPr>
            </w:pPr>
            <w:r>
              <w:rPr>
                <w:rFonts w:ascii="ARIAL" w:hAnsi="ARIAL"/>
                <w:i/>
                <w:sz w:val="18"/>
                <w:u w:val="single"/>
              </w:rPr>
              <w:t>Stock Awards and Option Awards</w:t>
            </w:r>
            <w:r>
              <w:rPr>
                <w:rFonts w:ascii="ARIAL" w:hAnsi="ARIAL"/>
                <w:sz w:val="18"/>
                <w:u w:val="single"/>
              </w:rPr>
              <w:t>.</w:t>
            </w:r>
            <w:r>
              <w:rPr>
                <w:rFonts w:ascii="ARIAL" w:hAnsi="ARIAL"/>
                <w:sz w:val="18"/>
              </w:rPr>
              <w:t xml:space="preserve"> These columns consist of the grant date fair value of awards of RSUs (including TRSUs and PRSUs) and stock options, in each case calculated in accordance with ASC 718 for each named executive officer. See the Share-Based Compensation footnote to the Consolidated Financial Statements contained in the Company’s Annual Report on Form 10-K for the year ended December 31, 2025 for an explanation of the assumptions made by the Company in the valuation of the awards shown in these columns. The grant date fair value of the PRSU awards under the LTIP for 2025 is based on the probable outcome of the performance conditions. Assuming maximum performance with respect to the applicable performance objectives, for 2025 the value of the LTIP PRSUs at the grant date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would have been as follows: Mr. Peterson, $9,000,000; Mr. Erceg, $3,918,750; Mr. Turner, $1,950,000; Ms. Platt, $1,788,500; and Ms. Malkoski, $1,450,000.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both"/>
              <w:rPr>
                <w:rFonts w:ascii="ARIAL" w:hAnsi="ARIAL"/>
                <w:sz w:val="18"/>
              </w:rPr>
            </w:pPr>
            <w:r>
              <w:rPr>
                <w:rFonts w:ascii="ARIAL" w:hAnsi="ARIAL"/>
                <w:i/>
                <w:sz w:val="18"/>
                <w:u w:val="single"/>
              </w:rPr>
              <w:t>Non-Equity Incentive Plan Compensation</w:t>
            </w:r>
            <w:r>
              <w:rPr>
                <w:rFonts w:ascii="ARIAL" w:hAnsi="ARIAL"/>
                <w:sz w:val="18"/>
                <w:u w:val="single"/>
              </w:rPr>
              <w:t>.</w:t>
            </w:r>
            <w:r>
              <w:rPr>
                <w:rFonts w:ascii="ARIAL" w:hAnsi="ARIAL"/>
                <w:sz w:val="18"/>
              </w:rPr>
              <w:t xml:space="preserve"> This column shows the cash incentive payouts earned by each of the named executive officers in 2025 under the Bonus Plan. The Company pays all of these amounts, if any, in the month of February or March following the year in which they are earned. Incentive payouts for 2025 under the Bonus Plan were earned at 80% of target for Messrs. Peterson, Erceg and Turner and Ms. Platt, and 114% of target for Ms. Malkoski.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Additional explanation of the non-equity incentive plan compensation for each named executive officer appears above under the caption “</w:t>
            </w:r>
            <w:r>
              <w:rPr>
                <w:rFonts w:ascii="ARIAL" w:hAnsi="ARIAL"/>
                <w:i/>
                <w:sz w:val="18"/>
              </w:rPr>
              <w:t xml:space="preserve">Compensation Discussion and Analysis </w:t>
            </w:r>
            <w:r>
              <w:rPr>
                <w:rFonts w:ascii="ARIAL" w:hAnsi="ARIAL"/>
                <w:sz w:val="18"/>
              </w:rPr>
              <w:t xml:space="preserve">- </w:t>
            </w:r>
            <w:r>
              <w:rPr>
                <w:rFonts w:ascii="ARIAL" w:hAnsi="ARIAL"/>
                <w:i/>
                <w:sz w:val="18"/>
              </w:rPr>
              <w:t xml:space="preserve">Key Elements of Executive Compensation </w:t>
            </w:r>
            <w:r>
              <w:rPr>
                <w:rFonts w:ascii="ARIAL" w:hAnsi="ARIAL"/>
                <w:sz w:val="18"/>
              </w:rPr>
              <w:t xml:space="preserve">- </w:t>
            </w:r>
            <w:r>
              <w:rPr>
                <w:rFonts w:ascii="ARIAL" w:hAnsi="ARIAL"/>
                <w:i/>
                <w:sz w:val="18"/>
              </w:rPr>
              <w:t>Annual Incentive Compensation</w:t>
            </w:r>
            <w:r>
              <w:rPr>
                <w:rFonts w:ascii="ARIAL" w:hAnsi="ARIAL"/>
                <w:sz w:val="18"/>
              </w:rPr>
              <w:t>” and below in the footnotes to the “</w:t>
            </w:r>
            <w:r>
              <w:rPr>
                <w:rFonts w:ascii="ARIAL" w:hAnsi="ARIAL"/>
                <w:i/>
                <w:sz w:val="18"/>
              </w:rPr>
              <w:t>2025 Grants of Plan-Based Awards</w:t>
            </w:r>
            <w:r>
              <w:rPr>
                <w:rFonts w:ascii="ARIAL" w:hAnsi="ARIAL"/>
                <w:sz w:val="18"/>
              </w:rPr>
              <w:t xml:space="preserve">” table.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305"/>
        <w:gridCol w:w="8960"/>
      </w:tblGrid>
      <w:tr>
        <w:trPr/>
        <w:tc>
          <w:tcPr>
            <w:tcW w:w="305" w:type="dxa"/>
            <w:tcBorders/>
            <w:vAlign w:val="center"/>
          </w:tcPr>
          <w:p>
            <w:pPr>
              <w:pStyle w:val="TableContents"/>
              <w:bidi w:val="0"/>
              <w:spacing w:before="0" w:after="283"/>
              <w:jc w:val="left"/>
              <w:rPr/>
            </w:pPr>
            <w:r>
              <w:rPr/>
              <w:t>(4)</w:t>
            </w:r>
          </w:p>
        </w:tc>
        <w:tc>
          <w:tcPr>
            <w:tcW w:w="8960" w:type="dxa"/>
            <w:tcBorders/>
            <w:vAlign w:val="center"/>
          </w:tcPr>
          <w:p>
            <w:pPr>
              <w:pStyle w:val="TableContents"/>
              <w:bidi w:val="0"/>
              <w:spacing w:before="0" w:after="0"/>
              <w:jc w:val="both"/>
              <w:rPr>
                <w:rFonts w:ascii="ARIAL" w:hAnsi="ARIAL"/>
                <w:sz w:val="18"/>
              </w:rPr>
            </w:pPr>
            <w:r>
              <w:rPr>
                <w:rFonts w:ascii="ARIAL" w:hAnsi="ARIAL"/>
                <w:i/>
                <w:sz w:val="18"/>
                <w:u w:val="single"/>
              </w:rPr>
              <w:t>All Other Compensation</w:t>
            </w:r>
            <w:r>
              <w:rPr>
                <w:rFonts w:ascii="ARIAL" w:hAnsi="ARIAL"/>
                <w:sz w:val="18"/>
                <w:u w:val="single"/>
              </w:rPr>
              <w:t>.</w:t>
            </w:r>
            <w:r>
              <w:rPr>
                <w:rFonts w:ascii="ARIAL" w:hAnsi="ARIAL"/>
                <w:sz w:val="18"/>
              </w:rPr>
              <w:t xml:space="preserve"> This column reflects the following amounts for each named executive officer in 2025: </w:t>
            </w:r>
          </w:p>
        </w:tc>
      </w:tr>
    </w:tbl>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2645"/>
        <w:gridCol w:w="120"/>
        <w:gridCol w:w="830"/>
        <w:gridCol w:w="120"/>
        <w:gridCol w:w="680"/>
        <w:gridCol w:w="120"/>
        <w:gridCol w:w="1415"/>
        <w:gridCol w:w="120"/>
        <w:gridCol w:w="1055"/>
        <w:gridCol w:w="120"/>
        <w:gridCol w:w="905"/>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2645" w:type="dxa"/>
            <w:tcBorders>
              <w:bottom w:val="single" w:sz="6" w:space="0" w:color="000000"/>
            </w:tcBorders>
            <w:tcMar>
              <w:bottom w:w="60" w:type="dxa"/>
            </w:tcMar>
            <w:vAlign w:val="center"/>
          </w:tcPr>
          <w:p>
            <w:pPr>
              <w:pStyle w:val="TableContents"/>
              <w:bidi w:val="0"/>
              <w:spacing w:before="0" w:after="283"/>
              <w:jc w:val="left"/>
              <w:rPr/>
            </w:pPr>
            <w:r>
              <w:rPr/>
              <w:t> </w:t>
            </w:r>
            <w:r>
              <w:rPr>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60" w:type="dxa"/>
            </w:tcMar>
            <w:vAlign w:val="center"/>
          </w:tcPr>
          <w:p>
            <w:pPr>
              <w:pStyle w:val="TableContents"/>
              <w:bidi w:val="0"/>
              <w:spacing w:before="0" w:after="283"/>
              <w:jc w:val="center"/>
              <w:rPr>
                <w:b/>
              </w:rPr>
            </w:pPr>
            <w:r>
              <w:rPr>
                <w:b/>
              </w:rPr>
              <w:t>Other</w:t>
              <w:br/>
              <w:t>Benefits</w:t>
              <w:br/>
              <w:t>($)(1)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80" w:type="dxa"/>
            <w:tcBorders>
              <w:bottom w:val="single" w:sz="6" w:space="0" w:color="000000"/>
            </w:tcBorders>
            <w:tcMar>
              <w:bottom w:w="60" w:type="dxa"/>
            </w:tcMar>
            <w:vAlign w:val="center"/>
          </w:tcPr>
          <w:p>
            <w:pPr>
              <w:pStyle w:val="TableContents"/>
              <w:bidi w:val="0"/>
              <w:spacing w:before="0" w:after="283"/>
              <w:jc w:val="center"/>
              <w:rPr>
                <w:b/>
              </w:rPr>
            </w:pPr>
            <w:r>
              <w:rPr>
                <w:b/>
              </w:rPr>
              <w:t>401(k)</w:t>
              <w:br/>
              <w:t>Plan</w:t>
              <w:br/>
              <w:t>($)(2)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tcBorders>
              <w:bottom w:val="single" w:sz="6" w:space="0" w:color="000000"/>
            </w:tcBorders>
            <w:tcMar>
              <w:bottom w:w="60" w:type="dxa"/>
            </w:tcMar>
            <w:vAlign w:val="center"/>
          </w:tcPr>
          <w:p>
            <w:pPr>
              <w:pStyle w:val="TableContents"/>
              <w:bidi w:val="0"/>
              <w:spacing w:before="0" w:after="283"/>
              <w:jc w:val="center"/>
              <w:rPr>
                <w:b/>
              </w:rPr>
            </w:pPr>
            <w:r>
              <w:rPr>
                <w:b/>
              </w:rPr>
              <w:t>Supplemental</w:t>
              <w:br/>
              <w:t>ESP</w:t>
              <w:br/>
              <w:t>($)(3)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60" w:type="dxa"/>
            </w:tcMar>
            <w:vAlign w:val="center"/>
          </w:tcPr>
          <w:p>
            <w:pPr>
              <w:pStyle w:val="TableContents"/>
              <w:bidi w:val="0"/>
              <w:spacing w:before="0" w:after="283"/>
              <w:jc w:val="center"/>
              <w:rPr>
                <w:b/>
              </w:rPr>
            </w:pPr>
            <w:r>
              <w:rPr>
                <w:b/>
              </w:rPr>
              <w:t>Insurance</w:t>
              <w:br/>
              <w:t>Premiums</w:t>
              <w:br/>
              <w:t>($)(4)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60" w:type="dxa"/>
            </w:tcMar>
            <w:vAlign w:val="center"/>
          </w:tcPr>
          <w:p>
            <w:pPr>
              <w:pStyle w:val="TableContents"/>
              <w:bidi w:val="0"/>
              <w:spacing w:before="0" w:after="283"/>
              <w:jc w:val="center"/>
              <w:rPr>
                <w:b/>
              </w:rPr>
            </w:pPr>
            <w:r>
              <w:rPr>
                <w:b/>
              </w:rPr>
              <w:t>Total</w:t>
              <w:br/>
              <w:t>($)</w:t>
            </w:r>
          </w:p>
        </w:tc>
      </w:tr>
      <w:tr>
        <w:trPr/>
        <w:tc>
          <w:tcPr>
            <w:tcW w:w="8130" w:type="dxa"/>
            <w:gridSpan w:val="11"/>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r>
      <w:tr>
        <w:trPr/>
        <w:tc>
          <w:tcPr>
            <w:tcW w:w="2645" w:type="dxa"/>
            <w:tcBorders/>
            <w:shd w:fill="D5EBF6" w:val="clear"/>
            <w:vAlign w:val="center"/>
          </w:tcPr>
          <w:p>
            <w:pPr>
              <w:pStyle w:val="TableContents"/>
              <w:bidi w:val="0"/>
              <w:spacing w:before="0" w:after="283"/>
              <w:jc w:val="left"/>
              <w:rPr>
                <w:sz w:val="4"/>
                <w:szCs w:val="4"/>
              </w:rPr>
            </w:pPr>
            <w:r>
              <w:rPr>
                <w:sz w:val="4"/>
                <w:szCs w:val="4"/>
              </w:rPr>
            </w:r>
          </w:p>
        </w:tc>
        <w:tc>
          <w:tcPr>
            <w:tcW w:w="950" w:type="dxa"/>
            <w:gridSpan w:val="2"/>
            <w:tcBorders/>
            <w:shd w:fill="D5EBF6" w:val="clear"/>
            <w:vAlign w:val="center"/>
          </w:tcPr>
          <w:p>
            <w:pPr>
              <w:pStyle w:val="TableContents"/>
              <w:bidi w:val="0"/>
              <w:spacing w:before="0" w:after="283"/>
              <w:jc w:val="left"/>
              <w:rPr>
                <w:sz w:val="4"/>
                <w:szCs w:val="4"/>
              </w:rPr>
            </w:pPr>
            <w:r>
              <w:rPr>
                <w:sz w:val="4"/>
                <w:szCs w:val="4"/>
              </w:rPr>
            </w:r>
          </w:p>
        </w:tc>
        <w:tc>
          <w:tcPr>
            <w:tcW w:w="800" w:type="dxa"/>
            <w:gridSpan w:val="2"/>
            <w:tcBorders/>
            <w:shd w:fill="D5EBF6" w:val="clear"/>
            <w:vAlign w:val="center"/>
          </w:tcPr>
          <w:p>
            <w:pPr>
              <w:pStyle w:val="TableContents"/>
              <w:bidi w:val="0"/>
              <w:spacing w:before="0" w:after="283"/>
              <w:jc w:val="left"/>
              <w:rPr>
                <w:sz w:val="4"/>
                <w:szCs w:val="4"/>
              </w:rPr>
            </w:pPr>
            <w:r>
              <w:rPr>
                <w:sz w:val="4"/>
                <w:szCs w:val="4"/>
              </w:rPr>
            </w:r>
          </w:p>
        </w:tc>
        <w:tc>
          <w:tcPr>
            <w:tcW w:w="15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02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45" w:type="dxa"/>
            <w:tcBorders/>
            <w:shd w:fill="D5EBF6" w:val="clear"/>
            <w:vAlign w:val="center"/>
          </w:tcPr>
          <w:p>
            <w:pPr>
              <w:pStyle w:val="TableContents"/>
              <w:bidi w:val="0"/>
              <w:spacing w:before="0" w:after="0"/>
              <w:jc w:val="left"/>
              <w:rPr/>
            </w:pPr>
            <w:r>
              <w:rPr/>
              <w:t> </w:t>
            </w:r>
            <w:r>
              <w:rPr>
                <w:rFonts w:ascii="ARIAL" w:hAnsi="ARIAL"/>
                <w:sz w:val="22"/>
              </w:rPr>
              <w:t>Christopher H. Peterson</w:t>
            </w:r>
          </w:p>
        </w:tc>
        <w:tc>
          <w:tcPr>
            <w:tcW w:w="120" w:type="dxa"/>
            <w:tcBorders/>
            <w:shd w:fill="D5EBF6" w:val="clear"/>
            <w:vAlign w:val="center"/>
          </w:tcPr>
          <w:p>
            <w:pPr>
              <w:pStyle w:val="TableContents"/>
              <w:bidi w:val="0"/>
              <w:spacing w:before="0" w:after="283"/>
              <w:jc w:val="left"/>
              <w:rPr/>
            </w:pPr>
            <w:r>
              <w:rPr/>
              <w:t>  </w:t>
            </w:r>
          </w:p>
        </w:tc>
        <w:tc>
          <w:tcPr>
            <w:tcW w:w="830" w:type="dxa"/>
            <w:tcBorders/>
            <w:shd w:fill="D5EBF6" w:val="clear"/>
            <w:vAlign w:val="center"/>
          </w:tcPr>
          <w:p>
            <w:pPr>
              <w:pStyle w:val="TableContents"/>
              <w:bidi w:val="0"/>
              <w:spacing w:before="0" w:after="283"/>
              <w:jc w:val="center"/>
              <w:rPr/>
            </w:pPr>
            <w:r>
              <w:rPr/>
              <w:t>82,489</w:t>
            </w:r>
          </w:p>
        </w:tc>
        <w:tc>
          <w:tcPr>
            <w:tcW w:w="120" w:type="dxa"/>
            <w:tcBorders/>
            <w:shd w:fill="D5EBF6" w:val="clear"/>
            <w:vAlign w:val="center"/>
          </w:tcPr>
          <w:p>
            <w:pPr>
              <w:pStyle w:val="TableContents"/>
              <w:bidi w:val="0"/>
              <w:spacing w:before="0" w:after="283"/>
              <w:jc w:val="left"/>
              <w:rPr/>
            </w:pPr>
            <w:r>
              <w:rPr/>
              <w:t>  </w:t>
            </w:r>
          </w:p>
        </w:tc>
        <w:tc>
          <w:tcPr>
            <w:tcW w:w="680" w:type="dxa"/>
            <w:tcBorders/>
            <w:shd w:fill="D5EBF6" w:val="clear"/>
            <w:vAlign w:val="center"/>
          </w:tcPr>
          <w:p>
            <w:pPr>
              <w:pStyle w:val="TableContents"/>
              <w:bidi w:val="0"/>
              <w:spacing w:before="0" w:after="283"/>
              <w:jc w:val="center"/>
              <w:rPr/>
            </w:pPr>
            <w:r>
              <w:rPr/>
              <w:t>21,000</w:t>
            </w:r>
          </w:p>
        </w:tc>
        <w:tc>
          <w:tcPr>
            <w:tcW w:w="120" w:type="dxa"/>
            <w:tcBorders/>
            <w:shd w:fill="D5EBF6" w:val="clear"/>
            <w:vAlign w:val="center"/>
          </w:tcPr>
          <w:p>
            <w:pPr>
              <w:pStyle w:val="TableContents"/>
              <w:bidi w:val="0"/>
              <w:spacing w:before="0" w:after="283"/>
              <w:jc w:val="left"/>
              <w:rPr/>
            </w:pPr>
            <w:r>
              <w:rPr/>
              <w:t>  </w:t>
            </w:r>
          </w:p>
        </w:tc>
        <w:tc>
          <w:tcPr>
            <w:tcW w:w="1415" w:type="dxa"/>
            <w:tcBorders/>
            <w:shd w:fill="D5EBF6" w:val="clear"/>
            <w:vAlign w:val="center"/>
          </w:tcPr>
          <w:p>
            <w:pPr>
              <w:pStyle w:val="TableContents"/>
              <w:bidi w:val="0"/>
              <w:spacing w:before="0" w:after="283"/>
              <w:jc w:val="center"/>
              <w:rPr/>
            </w:pPr>
            <w:r>
              <w:rPr/>
              <w:t>172,200</w:t>
            </w:r>
          </w:p>
        </w:tc>
        <w:tc>
          <w:tcPr>
            <w:tcW w:w="120" w:type="dxa"/>
            <w:tcBorders/>
            <w:shd w:fill="D5EBF6" w:val="clear"/>
            <w:vAlign w:val="center"/>
          </w:tcPr>
          <w:p>
            <w:pPr>
              <w:pStyle w:val="TableContents"/>
              <w:bidi w:val="0"/>
              <w:spacing w:before="0" w:after="283"/>
              <w:jc w:val="left"/>
              <w:rPr/>
            </w:pPr>
            <w:r>
              <w:rPr/>
              <w:t>  </w:t>
            </w:r>
          </w:p>
        </w:tc>
        <w:tc>
          <w:tcPr>
            <w:tcW w:w="1055" w:type="dxa"/>
            <w:tcBorders/>
            <w:shd w:fill="D5EBF6" w:val="clear"/>
            <w:vAlign w:val="center"/>
          </w:tcPr>
          <w:p>
            <w:pPr>
              <w:pStyle w:val="TableContents"/>
              <w:bidi w:val="0"/>
              <w:spacing w:before="0" w:after="283"/>
              <w:jc w:val="center"/>
              <w:rPr/>
            </w:pPr>
            <w:r>
              <w:rPr/>
              <w:t>2,230</w:t>
            </w:r>
          </w:p>
        </w:tc>
        <w:tc>
          <w:tcPr>
            <w:tcW w:w="120" w:type="dxa"/>
            <w:tcBorders/>
            <w:shd w:fill="D5EBF6" w:val="clear"/>
            <w:vAlign w:val="center"/>
          </w:tcPr>
          <w:p>
            <w:pPr>
              <w:pStyle w:val="TableContents"/>
              <w:bidi w:val="0"/>
              <w:spacing w:before="0" w:after="283"/>
              <w:jc w:val="left"/>
              <w:rPr/>
            </w:pPr>
            <w:r>
              <w:rPr/>
              <w:t>  </w:t>
            </w:r>
          </w:p>
        </w:tc>
        <w:tc>
          <w:tcPr>
            <w:tcW w:w="905" w:type="dxa"/>
            <w:tcBorders/>
            <w:shd w:fill="D5EBF6" w:val="clear"/>
            <w:vAlign w:val="center"/>
          </w:tcPr>
          <w:p>
            <w:pPr>
              <w:pStyle w:val="TableContents"/>
              <w:bidi w:val="0"/>
              <w:spacing w:before="0" w:after="283"/>
              <w:jc w:val="center"/>
              <w:rPr/>
            </w:pPr>
            <w:r>
              <w:rPr/>
              <w:t>277,919  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pPr>
            <w:r>
              <w:rPr/>
              <w:t> </w:t>
            </w:r>
            <w:r>
              <w:rPr>
                <w:rFonts w:ascii="ARIAL" w:hAnsi="ARIAL"/>
                <w:sz w:val="22"/>
              </w:rPr>
              <w:t>Mark J. Erceg</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24,474</w:t>
            </w:r>
          </w:p>
        </w:tc>
        <w:tc>
          <w:tcPr>
            <w:tcW w:w="12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21,000</w:t>
            </w:r>
          </w:p>
        </w:tc>
        <w:tc>
          <w:tcPr>
            <w:tcW w:w="1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75,530</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2,037</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123,041  </w:t>
            </w:r>
          </w:p>
        </w:tc>
      </w:tr>
      <w:tr>
        <w:trPr/>
        <w:tc>
          <w:tcPr>
            <w:tcW w:w="2645" w:type="dxa"/>
            <w:tcBorders/>
            <w:shd w:fill="D5EBF6" w:val="clear"/>
            <w:vAlign w:val="center"/>
          </w:tcPr>
          <w:p>
            <w:pPr>
              <w:pStyle w:val="TableContents"/>
              <w:bidi w:val="0"/>
              <w:spacing w:before="0" w:after="283"/>
              <w:jc w:val="left"/>
              <w:rPr>
                <w:sz w:val="4"/>
                <w:szCs w:val="4"/>
              </w:rPr>
            </w:pPr>
            <w:r>
              <w:rPr>
                <w:sz w:val="4"/>
                <w:szCs w:val="4"/>
              </w:rPr>
            </w:r>
          </w:p>
        </w:tc>
        <w:tc>
          <w:tcPr>
            <w:tcW w:w="950" w:type="dxa"/>
            <w:gridSpan w:val="2"/>
            <w:tcBorders/>
            <w:shd w:fill="D5EBF6" w:val="clear"/>
            <w:vAlign w:val="center"/>
          </w:tcPr>
          <w:p>
            <w:pPr>
              <w:pStyle w:val="TableContents"/>
              <w:bidi w:val="0"/>
              <w:spacing w:before="0" w:after="283"/>
              <w:jc w:val="left"/>
              <w:rPr>
                <w:sz w:val="4"/>
                <w:szCs w:val="4"/>
              </w:rPr>
            </w:pPr>
            <w:r>
              <w:rPr>
                <w:sz w:val="4"/>
                <w:szCs w:val="4"/>
              </w:rPr>
            </w:r>
          </w:p>
        </w:tc>
        <w:tc>
          <w:tcPr>
            <w:tcW w:w="800" w:type="dxa"/>
            <w:gridSpan w:val="2"/>
            <w:tcBorders/>
            <w:shd w:fill="D5EBF6" w:val="clear"/>
            <w:vAlign w:val="center"/>
          </w:tcPr>
          <w:p>
            <w:pPr>
              <w:pStyle w:val="TableContents"/>
              <w:bidi w:val="0"/>
              <w:spacing w:before="0" w:after="283"/>
              <w:jc w:val="left"/>
              <w:rPr>
                <w:sz w:val="4"/>
                <w:szCs w:val="4"/>
              </w:rPr>
            </w:pPr>
            <w:r>
              <w:rPr>
                <w:sz w:val="4"/>
                <w:szCs w:val="4"/>
              </w:rPr>
            </w:r>
          </w:p>
        </w:tc>
        <w:tc>
          <w:tcPr>
            <w:tcW w:w="15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02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45" w:type="dxa"/>
            <w:tcBorders/>
            <w:shd w:fill="D5EBF6" w:val="clear"/>
            <w:vAlign w:val="center"/>
          </w:tcPr>
          <w:p>
            <w:pPr>
              <w:pStyle w:val="TableContents"/>
              <w:bidi w:val="0"/>
              <w:spacing w:before="0" w:after="0"/>
              <w:jc w:val="left"/>
              <w:rPr/>
            </w:pPr>
            <w:r>
              <w:rPr/>
              <w:t> </w:t>
            </w:r>
            <w:r>
              <w:rPr>
                <w:rFonts w:ascii="ARIAL" w:hAnsi="ARIAL"/>
                <w:sz w:val="22"/>
              </w:rPr>
              <w:t>Bradford R. Turner</w:t>
            </w:r>
          </w:p>
        </w:tc>
        <w:tc>
          <w:tcPr>
            <w:tcW w:w="120" w:type="dxa"/>
            <w:tcBorders/>
            <w:shd w:fill="D5EBF6" w:val="clear"/>
            <w:vAlign w:val="center"/>
          </w:tcPr>
          <w:p>
            <w:pPr>
              <w:pStyle w:val="TableContents"/>
              <w:bidi w:val="0"/>
              <w:spacing w:before="0" w:after="283"/>
              <w:jc w:val="left"/>
              <w:rPr/>
            </w:pPr>
            <w:r>
              <w:rPr/>
              <w:t>  </w:t>
            </w:r>
          </w:p>
        </w:tc>
        <w:tc>
          <w:tcPr>
            <w:tcW w:w="830" w:type="dxa"/>
            <w:tcBorders/>
            <w:shd w:fill="D5EBF6" w:val="clear"/>
            <w:vAlign w:val="center"/>
          </w:tcPr>
          <w:p>
            <w:pPr>
              <w:pStyle w:val="TableContents"/>
              <w:bidi w:val="0"/>
              <w:spacing w:before="0" w:after="283"/>
              <w:jc w:val="center"/>
              <w:rPr/>
            </w:pPr>
            <w:r>
              <w:rPr/>
              <w:t>24,609</w:t>
            </w:r>
          </w:p>
        </w:tc>
        <w:tc>
          <w:tcPr>
            <w:tcW w:w="120" w:type="dxa"/>
            <w:tcBorders/>
            <w:shd w:fill="D5EBF6" w:val="clear"/>
            <w:vAlign w:val="center"/>
          </w:tcPr>
          <w:p>
            <w:pPr>
              <w:pStyle w:val="TableContents"/>
              <w:bidi w:val="0"/>
              <w:spacing w:before="0" w:after="283"/>
              <w:jc w:val="left"/>
              <w:rPr/>
            </w:pPr>
            <w:r>
              <w:rPr/>
              <w:t>  </w:t>
            </w:r>
          </w:p>
        </w:tc>
        <w:tc>
          <w:tcPr>
            <w:tcW w:w="680" w:type="dxa"/>
            <w:tcBorders/>
            <w:shd w:fill="D5EBF6" w:val="clear"/>
            <w:vAlign w:val="center"/>
          </w:tcPr>
          <w:p>
            <w:pPr>
              <w:pStyle w:val="TableContents"/>
              <w:bidi w:val="0"/>
              <w:spacing w:before="0" w:after="283"/>
              <w:jc w:val="center"/>
              <w:rPr/>
            </w:pPr>
            <w:r>
              <w:rPr/>
              <w:t>21,000</w:t>
            </w:r>
          </w:p>
        </w:tc>
        <w:tc>
          <w:tcPr>
            <w:tcW w:w="120" w:type="dxa"/>
            <w:tcBorders/>
            <w:shd w:fill="D5EBF6" w:val="clear"/>
            <w:vAlign w:val="center"/>
          </w:tcPr>
          <w:p>
            <w:pPr>
              <w:pStyle w:val="TableContents"/>
              <w:bidi w:val="0"/>
              <w:spacing w:before="0" w:after="283"/>
              <w:jc w:val="left"/>
              <w:rPr/>
            </w:pPr>
            <w:r>
              <w:rPr/>
              <w:t>  </w:t>
            </w:r>
          </w:p>
        </w:tc>
        <w:tc>
          <w:tcPr>
            <w:tcW w:w="1415" w:type="dxa"/>
            <w:tcBorders/>
            <w:shd w:fill="D5EBF6" w:val="clear"/>
            <w:vAlign w:val="center"/>
          </w:tcPr>
          <w:p>
            <w:pPr>
              <w:pStyle w:val="TableContents"/>
              <w:bidi w:val="0"/>
              <w:spacing w:before="0" w:after="283"/>
              <w:jc w:val="center"/>
              <w:rPr/>
            </w:pPr>
            <w:r>
              <w:rPr/>
              <w:t>61,340</w:t>
            </w:r>
          </w:p>
        </w:tc>
        <w:tc>
          <w:tcPr>
            <w:tcW w:w="120" w:type="dxa"/>
            <w:tcBorders/>
            <w:shd w:fill="D5EBF6" w:val="clear"/>
            <w:vAlign w:val="center"/>
          </w:tcPr>
          <w:p>
            <w:pPr>
              <w:pStyle w:val="TableContents"/>
              <w:bidi w:val="0"/>
              <w:spacing w:before="0" w:after="283"/>
              <w:jc w:val="left"/>
              <w:rPr/>
            </w:pPr>
            <w:r>
              <w:rPr/>
              <w:t>  </w:t>
            </w:r>
          </w:p>
        </w:tc>
        <w:tc>
          <w:tcPr>
            <w:tcW w:w="1055" w:type="dxa"/>
            <w:tcBorders/>
            <w:shd w:fill="D5EBF6" w:val="clear"/>
            <w:vAlign w:val="center"/>
          </w:tcPr>
          <w:p>
            <w:pPr>
              <w:pStyle w:val="TableContents"/>
              <w:bidi w:val="0"/>
              <w:spacing w:before="0" w:after="283"/>
              <w:jc w:val="center"/>
              <w:rPr/>
            </w:pPr>
            <w:r>
              <w:rPr/>
              <w:t>1,954</w:t>
            </w:r>
          </w:p>
        </w:tc>
        <w:tc>
          <w:tcPr>
            <w:tcW w:w="120" w:type="dxa"/>
            <w:tcBorders/>
            <w:shd w:fill="D5EBF6" w:val="clear"/>
            <w:vAlign w:val="center"/>
          </w:tcPr>
          <w:p>
            <w:pPr>
              <w:pStyle w:val="TableContents"/>
              <w:bidi w:val="0"/>
              <w:spacing w:before="0" w:after="283"/>
              <w:jc w:val="left"/>
              <w:rPr/>
            </w:pPr>
            <w:r>
              <w:rPr/>
              <w:t>  </w:t>
            </w:r>
          </w:p>
        </w:tc>
        <w:tc>
          <w:tcPr>
            <w:tcW w:w="905" w:type="dxa"/>
            <w:tcBorders/>
            <w:shd w:fill="D5EBF6" w:val="clear"/>
            <w:vAlign w:val="center"/>
          </w:tcPr>
          <w:p>
            <w:pPr>
              <w:pStyle w:val="TableContents"/>
              <w:bidi w:val="0"/>
              <w:spacing w:before="0" w:after="283"/>
              <w:jc w:val="center"/>
              <w:rPr/>
            </w:pPr>
            <w:r>
              <w:rPr/>
              <w:t>108,903  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pPr>
            <w:r>
              <w:rPr/>
              <w:t> </w:t>
            </w:r>
            <w:r>
              <w:rPr>
                <w:rFonts w:ascii="ARIAL" w:hAnsi="ARIAL"/>
                <w:sz w:val="22"/>
              </w:rPr>
              <w:t>Tracy L. Platt</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21,638</w:t>
            </w:r>
          </w:p>
        </w:tc>
        <w:tc>
          <w:tcPr>
            <w:tcW w:w="12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21,000</w:t>
            </w:r>
          </w:p>
        </w:tc>
        <w:tc>
          <w:tcPr>
            <w:tcW w:w="1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53,820</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1,932</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98,390  </w:t>
            </w:r>
          </w:p>
        </w:tc>
      </w:tr>
      <w:tr>
        <w:trPr/>
        <w:tc>
          <w:tcPr>
            <w:tcW w:w="2645" w:type="dxa"/>
            <w:tcBorders/>
            <w:shd w:fill="D5EBF6" w:val="clear"/>
            <w:vAlign w:val="center"/>
          </w:tcPr>
          <w:p>
            <w:pPr>
              <w:pStyle w:val="TableContents"/>
              <w:bidi w:val="0"/>
              <w:spacing w:before="0" w:after="283"/>
              <w:jc w:val="left"/>
              <w:rPr>
                <w:sz w:val="4"/>
                <w:szCs w:val="4"/>
              </w:rPr>
            </w:pPr>
            <w:r>
              <w:rPr>
                <w:sz w:val="4"/>
                <w:szCs w:val="4"/>
              </w:rPr>
            </w:r>
          </w:p>
        </w:tc>
        <w:tc>
          <w:tcPr>
            <w:tcW w:w="950" w:type="dxa"/>
            <w:gridSpan w:val="2"/>
            <w:tcBorders/>
            <w:shd w:fill="D5EBF6" w:val="clear"/>
            <w:vAlign w:val="center"/>
          </w:tcPr>
          <w:p>
            <w:pPr>
              <w:pStyle w:val="TableContents"/>
              <w:bidi w:val="0"/>
              <w:spacing w:before="0" w:after="283"/>
              <w:jc w:val="left"/>
              <w:rPr>
                <w:sz w:val="4"/>
                <w:szCs w:val="4"/>
              </w:rPr>
            </w:pPr>
            <w:r>
              <w:rPr>
                <w:sz w:val="4"/>
                <w:szCs w:val="4"/>
              </w:rPr>
            </w:r>
          </w:p>
        </w:tc>
        <w:tc>
          <w:tcPr>
            <w:tcW w:w="800" w:type="dxa"/>
            <w:gridSpan w:val="2"/>
            <w:tcBorders/>
            <w:shd w:fill="D5EBF6" w:val="clear"/>
            <w:vAlign w:val="center"/>
          </w:tcPr>
          <w:p>
            <w:pPr>
              <w:pStyle w:val="TableContents"/>
              <w:bidi w:val="0"/>
              <w:spacing w:before="0" w:after="283"/>
              <w:jc w:val="left"/>
              <w:rPr>
                <w:sz w:val="4"/>
                <w:szCs w:val="4"/>
              </w:rPr>
            </w:pPr>
            <w:r>
              <w:rPr>
                <w:sz w:val="4"/>
                <w:szCs w:val="4"/>
              </w:rPr>
            </w:r>
          </w:p>
        </w:tc>
        <w:tc>
          <w:tcPr>
            <w:tcW w:w="15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02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45" w:type="dxa"/>
            <w:tcBorders/>
            <w:shd w:fill="D5EBF6" w:val="clear"/>
            <w:vAlign w:val="center"/>
          </w:tcPr>
          <w:p>
            <w:pPr>
              <w:pStyle w:val="TableContents"/>
              <w:bidi w:val="0"/>
              <w:spacing w:before="0" w:after="0"/>
              <w:jc w:val="left"/>
              <w:rPr/>
            </w:pPr>
            <w:r>
              <w:rPr/>
              <w:t> </w:t>
            </w:r>
            <w:r>
              <w:rPr>
                <w:rFonts w:ascii="ARIAL" w:hAnsi="ARIAL"/>
                <w:sz w:val="22"/>
              </w:rPr>
              <w:t>Kristine K. Malkoski</w:t>
            </w:r>
          </w:p>
        </w:tc>
        <w:tc>
          <w:tcPr>
            <w:tcW w:w="120" w:type="dxa"/>
            <w:tcBorders/>
            <w:shd w:fill="D5EBF6" w:val="clear"/>
            <w:vAlign w:val="center"/>
          </w:tcPr>
          <w:p>
            <w:pPr>
              <w:pStyle w:val="TableContents"/>
              <w:bidi w:val="0"/>
              <w:spacing w:before="0" w:after="283"/>
              <w:jc w:val="left"/>
              <w:rPr/>
            </w:pPr>
            <w:r>
              <w:rPr/>
              <w:t>  </w:t>
            </w:r>
          </w:p>
        </w:tc>
        <w:tc>
          <w:tcPr>
            <w:tcW w:w="830" w:type="dxa"/>
            <w:tcBorders/>
            <w:shd w:fill="D5EBF6" w:val="clear"/>
            <w:vAlign w:val="center"/>
          </w:tcPr>
          <w:p>
            <w:pPr>
              <w:pStyle w:val="TableContents"/>
              <w:bidi w:val="0"/>
              <w:spacing w:before="0" w:after="283"/>
              <w:jc w:val="center"/>
              <w:rPr/>
            </w:pPr>
            <w:r>
              <w:rPr/>
              <w:t>21,638</w:t>
            </w:r>
          </w:p>
        </w:tc>
        <w:tc>
          <w:tcPr>
            <w:tcW w:w="120" w:type="dxa"/>
            <w:tcBorders/>
            <w:shd w:fill="D5EBF6" w:val="clear"/>
            <w:vAlign w:val="center"/>
          </w:tcPr>
          <w:p>
            <w:pPr>
              <w:pStyle w:val="TableContents"/>
              <w:bidi w:val="0"/>
              <w:spacing w:before="0" w:after="283"/>
              <w:jc w:val="left"/>
              <w:rPr/>
            </w:pPr>
            <w:r>
              <w:rPr/>
              <w:t>  </w:t>
            </w:r>
          </w:p>
        </w:tc>
        <w:tc>
          <w:tcPr>
            <w:tcW w:w="680" w:type="dxa"/>
            <w:tcBorders/>
            <w:shd w:fill="D5EBF6" w:val="clear"/>
            <w:vAlign w:val="center"/>
          </w:tcPr>
          <w:p>
            <w:pPr>
              <w:pStyle w:val="TableContents"/>
              <w:bidi w:val="0"/>
              <w:spacing w:before="0" w:after="283"/>
              <w:jc w:val="center"/>
              <w:rPr/>
            </w:pPr>
            <w:r>
              <w:rPr/>
              <w:t>21,000</w:t>
            </w:r>
          </w:p>
        </w:tc>
        <w:tc>
          <w:tcPr>
            <w:tcW w:w="120" w:type="dxa"/>
            <w:tcBorders/>
            <w:shd w:fill="D5EBF6" w:val="clear"/>
            <w:vAlign w:val="center"/>
          </w:tcPr>
          <w:p>
            <w:pPr>
              <w:pStyle w:val="TableContents"/>
              <w:bidi w:val="0"/>
              <w:spacing w:before="0" w:after="283"/>
              <w:jc w:val="left"/>
              <w:rPr/>
            </w:pPr>
            <w:r>
              <w:rPr/>
              <w:t>  </w:t>
            </w:r>
          </w:p>
        </w:tc>
        <w:tc>
          <w:tcPr>
            <w:tcW w:w="1415" w:type="dxa"/>
            <w:tcBorders/>
            <w:shd w:fill="D5EBF6" w:val="clear"/>
            <w:vAlign w:val="center"/>
          </w:tcPr>
          <w:p>
            <w:pPr>
              <w:pStyle w:val="TableContents"/>
              <w:bidi w:val="0"/>
              <w:spacing w:before="0" w:after="283"/>
              <w:jc w:val="center"/>
              <w:rPr/>
            </w:pPr>
            <w:r>
              <w:rPr/>
              <w:t>44,375</w:t>
            </w:r>
          </w:p>
        </w:tc>
        <w:tc>
          <w:tcPr>
            <w:tcW w:w="120" w:type="dxa"/>
            <w:tcBorders/>
            <w:shd w:fill="D5EBF6" w:val="clear"/>
            <w:vAlign w:val="center"/>
          </w:tcPr>
          <w:p>
            <w:pPr>
              <w:pStyle w:val="TableContents"/>
              <w:bidi w:val="0"/>
              <w:spacing w:before="0" w:after="283"/>
              <w:jc w:val="left"/>
              <w:rPr/>
            </w:pPr>
            <w:r>
              <w:rPr/>
              <w:t>  </w:t>
            </w:r>
          </w:p>
        </w:tc>
        <w:tc>
          <w:tcPr>
            <w:tcW w:w="1055" w:type="dxa"/>
            <w:tcBorders/>
            <w:shd w:fill="D5EBF6" w:val="clear"/>
            <w:vAlign w:val="center"/>
          </w:tcPr>
          <w:p>
            <w:pPr>
              <w:pStyle w:val="TableContents"/>
              <w:bidi w:val="0"/>
              <w:spacing w:before="0" w:after="283"/>
              <w:jc w:val="center"/>
              <w:rPr/>
            </w:pPr>
            <w:r>
              <w:rPr/>
              <w:t>1,927</w:t>
            </w:r>
          </w:p>
        </w:tc>
        <w:tc>
          <w:tcPr>
            <w:tcW w:w="120" w:type="dxa"/>
            <w:tcBorders/>
            <w:shd w:fill="D5EBF6" w:val="clear"/>
            <w:vAlign w:val="center"/>
          </w:tcPr>
          <w:p>
            <w:pPr>
              <w:pStyle w:val="TableContents"/>
              <w:bidi w:val="0"/>
              <w:spacing w:before="0" w:after="283"/>
              <w:jc w:val="left"/>
              <w:rPr/>
            </w:pPr>
            <w:r>
              <w:rPr/>
              <w:t>  </w:t>
            </w:r>
          </w:p>
        </w:tc>
        <w:tc>
          <w:tcPr>
            <w:tcW w:w="905" w:type="dxa"/>
            <w:tcBorders/>
            <w:shd w:fill="D5EBF6" w:val="clear"/>
            <w:vAlign w:val="center"/>
          </w:tcPr>
          <w:p>
            <w:pPr>
              <w:pStyle w:val="TableContents"/>
              <w:bidi w:val="0"/>
              <w:spacing w:before="0" w:after="283"/>
              <w:jc w:val="center"/>
              <w:rPr/>
            </w:pPr>
            <w:r>
              <w:rPr/>
              <w:t>88,940  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both"/>
              <w:rPr>
                <w:rFonts w:ascii="ARIAL" w:hAnsi="ARIAL"/>
                <w:sz w:val="18"/>
              </w:rPr>
            </w:pPr>
            <w:r>
              <w:rPr>
                <w:rFonts w:ascii="ARIAL" w:hAnsi="ARIAL"/>
                <w:i/>
                <w:sz w:val="18"/>
                <w:u w:val="single"/>
              </w:rPr>
              <w:t>Other Benefits.</w:t>
            </w:r>
            <w:r>
              <w:rPr>
                <w:rFonts w:ascii="ARIAL" w:hAnsi="ARIAL"/>
                <w:sz w:val="18"/>
              </w:rPr>
              <w:t xml:space="preserve"> The amounts in this column include (i) cash stipends under our Flexible Benefits Perquisites Program of $36,000 for Mr. Peterson, $21,638 for Mr. Erceg, $21,638 for Mr. Turner, $21,638 for Ms. Platt, and $21,638 for Ms. Malkoski; (ii) all amounts paid by the Company for annual health examinations for the named executive officers, which are permitted pursuant to Company policy and were utilized by Messrs. Peterson, Erceg and Turner; and (iii) for Mr. Peterson, $43,403 in incremental costs associated with his personal use of the Company’s aircraft.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0"/>
              <w:jc w:val="both"/>
              <w:rPr>
                <w:rFonts w:ascii="ARIAL" w:hAnsi="ARIAL"/>
                <w:sz w:val="18"/>
              </w:rPr>
            </w:pPr>
            <w:r>
              <w:rPr>
                <w:rFonts w:ascii="ARIAL" w:hAnsi="ARIAL"/>
                <w:i/>
                <w:sz w:val="18"/>
                <w:u w:val="single"/>
              </w:rPr>
              <w:t>401(k) Plan</w:t>
            </w:r>
            <w:r>
              <w:rPr>
                <w:rFonts w:ascii="ARIAL" w:hAnsi="ARIAL"/>
                <w:sz w:val="18"/>
                <w:u w:val="single"/>
              </w:rPr>
              <w:t>.</w:t>
            </w:r>
            <w:r>
              <w:rPr>
                <w:rFonts w:ascii="ARIAL" w:hAnsi="ARIAL"/>
                <w:sz w:val="18"/>
              </w:rPr>
              <w:t xml:space="preserve"> This column shows the amount of all employer matching contributions made for 2025 under the 401(k) Plan on behalf of each named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both"/>
              <w:rPr>
                <w:rFonts w:ascii="ARIAL" w:hAnsi="ARIAL"/>
                <w:sz w:val="18"/>
              </w:rPr>
            </w:pPr>
            <w:r>
              <w:rPr>
                <w:rFonts w:ascii="ARIAL" w:hAnsi="ARIAL"/>
                <w:i/>
                <w:sz w:val="18"/>
                <w:u w:val="single"/>
              </w:rPr>
              <w:t>Supplemental ESP</w:t>
            </w:r>
            <w:r>
              <w:rPr>
                <w:rFonts w:ascii="ARIAL" w:hAnsi="ARIAL"/>
                <w:sz w:val="18"/>
                <w:u w:val="single"/>
              </w:rPr>
              <w:t>.</w:t>
            </w:r>
            <w:r>
              <w:rPr>
                <w:rFonts w:ascii="ARIAL" w:hAnsi="ARIAL"/>
                <w:sz w:val="18"/>
              </w:rPr>
              <w:t xml:space="preserve"> This column shows the employer matching contributions for 2025 (exclusive of employee deferrals) which were credited to each named executive officer’s Supplemental ESP account for 2025, as described below under “</w:t>
            </w:r>
            <w:r>
              <w:rPr>
                <w:rFonts w:ascii="ARIAL" w:hAnsi="ARIAL"/>
                <w:i/>
                <w:sz w:val="18"/>
              </w:rPr>
              <w:t>Deferred Compensation Plans - Supplemental ESP</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(4)</w:t>
            </w:r>
          </w:p>
        </w:tc>
        <w:tc>
          <w:tcPr>
            <w:tcW w:w="9954" w:type="dxa"/>
            <w:tcBorders/>
            <w:vAlign w:val="center"/>
          </w:tcPr>
          <w:p>
            <w:pPr>
              <w:pStyle w:val="TableContents"/>
              <w:bidi w:val="0"/>
              <w:spacing w:before="0" w:after="0"/>
              <w:jc w:val="both"/>
              <w:rPr>
                <w:rFonts w:ascii="ARIAL" w:hAnsi="ARIAL"/>
                <w:sz w:val="18"/>
              </w:rPr>
            </w:pPr>
            <w:r>
              <w:rPr>
                <w:rFonts w:ascii="ARIAL" w:hAnsi="ARIAL"/>
                <w:i/>
                <w:sz w:val="18"/>
                <w:u w:val="single"/>
              </w:rPr>
              <w:t>Insurance Premiums</w:t>
            </w:r>
            <w:r>
              <w:rPr>
                <w:rFonts w:ascii="ARIAL" w:hAnsi="ARIAL"/>
                <w:sz w:val="18"/>
                <w:u w:val="single"/>
              </w:rPr>
              <w:t>.</w:t>
            </w:r>
            <w:r>
              <w:rPr>
                <w:rFonts w:ascii="ARIAL" w:hAnsi="ARIAL"/>
                <w:sz w:val="18"/>
              </w:rPr>
              <w:t xml:space="preserve"> This column shows all amounts paid by the Company on behalf of each named executive officer in 2025 for (i) life insurance premiums: $1,104 for Mr. Peterson, $911 for Mr. Erceg, $828 for Mr. Turner, $806 for Ms. Platt, and $800 for Ms. Malkoski and (ii) long-term disability insurance premiums: $1,126 for each of Messrs. Peterson, Erceg and Turner and Mses. Platt and Malkoski.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2"/>
          <w:u w:val="single"/>
        </w:rPr>
      </w:pPr>
      <w:r>
        <w:rPr>
          <w:rFonts w:ascii="ARIAL" w:hAnsi="ARIAL"/>
          <w:b/>
          <w:sz w:val="22"/>
          <w:u w:val="single"/>
        </w:rPr>
        <w:t xml:space="preserve">2025 Grants of Plan-Based Awards </w:t>
      </w:r>
    </w:p>
    <w:p>
      <w:pPr>
        <w:pStyle w:val="TextBody"/>
        <w:bidi w:val="0"/>
        <w:spacing w:before="0" w:after="0"/>
        <w:jc w:val="left"/>
        <w:rPr/>
      </w:pPr>
      <w:r>
        <w:rPr/>
        <w:t> </w:t>
      </w:r>
    </w:p>
    <w:tbl>
      <w:tblPr>
        <w:tblW w:w="9510" w:type="dxa"/>
        <w:jc w:val="left"/>
        <w:tblInd w:w="0" w:type="dxa"/>
        <w:tblLayout w:type="fixed"/>
        <w:tblCellMar>
          <w:top w:w="0" w:type="dxa"/>
          <w:left w:w="0" w:type="dxa"/>
          <w:bottom w:w="0" w:type="dxa"/>
          <w:right w:w="0" w:type="dxa"/>
        </w:tblCellMar>
      </w:tblPr>
      <w:tblGrid>
        <w:gridCol w:w="1520"/>
        <w:gridCol w:w="60"/>
        <w:gridCol w:w="635"/>
        <w:gridCol w:w="60"/>
        <w:gridCol w:w="635"/>
        <w:gridCol w:w="60"/>
        <w:gridCol w:w="635"/>
        <w:gridCol w:w="60"/>
        <w:gridCol w:w="635"/>
        <w:gridCol w:w="60"/>
        <w:gridCol w:w="800"/>
        <w:gridCol w:w="60"/>
        <w:gridCol w:w="515"/>
        <w:gridCol w:w="60"/>
        <w:gridCol w:w="635"/>
        <w:gridCol w:w="60"/>
        <w:gridCol w:w="635"/>
        <w:gridCol w:w="60"/>
        <w:gridCol w:w="710"/>
        <w:gridCol w:w="60"/>
        <w:gridCol w:w="590"/>
        <w:gridCol w:w="60"/>
        <w:gridCol w:w="60"/>
        <w:gridCol w:w="770"/>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5"/>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14"/>
              </w:rPr>
            </w:pPr>
            <w:r>
              <w:rPr>
                <w:rFonts w:ascii="ARIAL" w:hAnsi="ARIAL"/>
                <w:b/>
                <w:sz w:val="14"/>
              </w:rPr>
              <w:t>Estimated Possible Payouts</w:t>
              <w:br/>
              <w:t>Under Non-Equity Incentive</w:t>
              <w:br/>
              <w:t>Plan Awards (1)</w:t>
            </w:r>
          </w:p>
        </w:tc>
        <w:tc>
          <w:tcPr>
            <w:tcW w:w="60" w:type="dxa"/>
            <w:tcBorders/>
            <w:vAlign w:val="center"/>
          </w:tcPr>
          <w:p>
            <w:pPr>
              <w:pStyle w:val="TableContents"/>
              <w:bidi w:val="0"/>
              <w:spacing w:before="0" w:after="283"/>
              <w:jc w:val="left"/>
              <w:rPr/>
            </w:pPr>
            <w:r>
              <w:rPr/>
              <w:t> </w:t>
            </w:r>
          </w:p>
        </w:tc>
        <w:tc>
          <w:tcPr>
            <w:tcW w:w="2070" w:type="dxa"/>
            <w:gridSpan w:val="5"/>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14"/>
              </w:rPr>
            </w:pPr>
            <w:r>
              <w:rPr>
                <w:rFonts w:ascii="ARIAL" w:hAnsi="ARIAL"/>
                <w:b/>
                <w:sz w:val="14"/>
              </w:rPr>
              <w:t>Estimated Future Payouts</w:t>
              <w:br/>
              <w:t>Under Equity Incentive</w:t>
              <w:br/>
              <w:t>Plan Awards (2)</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35" w:type="dxa"/>
            <w:vMerge w:val="restart"/>
            <w:tcBorders>
              <w:bottom w:val="single" w:sz="6" w:space="0" w:color="000000"/>
            </w:tcBorders>
            <w:tcMar>
              <w:bottom w:w="28" w:type="dxa"/>
            </w:tcMar>
            <w:vAlign w:val="center"/>
          </w:tcPr>
          <w:p>
            <w:pPr>
              <w:pStyle w:val="TableContents"/>
              <w:bidi w:val="0"/>
              <w:spacing w:before="0" w:after="0"/>
              <w:jc w:val="center"/>
              <w:rPr>
                <w:rFonts w:ascii="ARIAL" w:hAnsi="ARIAL"/>
                <w:b/>
                <w:sz w:val="14"/>
              </w:rPr>
            </w:pPr>
            <w:r>
              <w:rPr>
                <w:rFonts w:ascii="ARIAL" w:hAnsi="ARIAL"/>
                <w:b/>
                <w:sz w:val="14"/>
              </w:rPr>
              <w:t>All Other</w:t>
              <w:br/>
              <w:t>Stock</w:t>
              <w:br/>
              <w:t>Awards:</w:t>
              <w:br/>
              <w:t>Number</w:t>
              <w:br/>
              <w:t>of Shares</w:t>
              <w:br/>
              <w:t>of Stock</w:t>
            </w:r>
          </w:p>
          <w:p>
            <w:pPr>
              <w:pStyle w:val="TableContents"/>
              <w:bidi w:val="0"/>
              <w:spacing w:before="0" w:after="20"/>
              <w:jc w:val="center"/>
              <w:rPr>
                <w:rFonts w:ascii="ARIAL" w:hAnsi="ARIAL"/>
                <w:b/>
                <w:sz w:val="14"/>
              </w:rPr>
            </w:pPr>
            <w:r>
              <w:rPr>
                <w:rFonts w:ascii="ARIAL" w:hAnsi="ARIAL"/>
                <w:b/>
                <w:sz w:val="14"/>
              </w:rPr>
              <w:t>or Units</w:t>
              <w:br/>
              <w:t>(#)(3)</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vMerge w:val="restart"/>
            <w:tcBorders>
              <w:bottom w:val="single" w:sz="6" w:space="0" w:color="000000"/>
            </w:tcBorders>
            <w:tcMar>
              <w:bottom w:w="28" w:type="dxa"/>
            </w:tcMar>
            <w:vAlign w:val="center"/>
          </w:tcPr>
          <w:p>
            <w:pPr>
              <w:pStyle w:val="TableContents"/>
              <w:bidi w:val="0"/>
              <w:spacing w:before="0" w:after="0"/>
              <w:jc w:val="center"/>
              <w:rPr>
                <w:rFonts w:ascii="ARIAL" w:hAnsi="ARIAL"/>
                <w:b/>
                <w:sz w:val="14"/>
              </w:rPr>
            </w:pPr>
            <w:r>
              <w:rPr>
                <w:rFonts w:ascii="ARIAL" w:hAnsi="ARIAL"/>
                <w:b/>
                <w:sz w:val="14"/>
              </w:rPr>
              <w:t>All Other</w:t>
              <w:br/>
              <w:t>Option</w:t>
              <w:br/>
              <w:t>Awards:</w:t>
              <w:br/>
              <w:t>Number of</w:t>
              <w:br/>
              <w:t>Securities</w:t>
              <w:br/>
              <w:t>Underlying</w:t>
            </w:r>
          </w:p>
          <w:p>
            <w:pPr>
              <w:pStyle w:val="TableContents"/>
              <w:bidi w:val="0"/>
              <w:spacing w:before="0" w:after="20"/>
              <w:jc w:val="center"/>
              <w:rPr>
                <w:rFonts w:ascii="ARIAL" w:hAnsi="ARIAL"/>
                <w:b/>
                <w:sz w:val="14"/>
              </w:rPr>
            </w:pPr>
            <w:r>
              <w:rPr>
                <w:rFonts w:ascii="ARIAL" w:hAnsi="ARIAL"/>
                <w:b/>
                <w:sz w:val="14"/>
              </w:rPr>
              <w:t>Options</w:t>
              <w:br/>
              <w:t>(#)</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vMerge w:val="restart"/>
            <w:tcBorders>
              <w:bottom w:val="single" w:sz="6" w:space="0" w:color="000000"/>
            </w:tcBorders>
            <w:tcMar>
              <w:bottom w:w="28" w:type="dxa"/>
            </w:tcMar>
            <w:vAlign w:val="center"/>
          </w:tcPr>
          <w:p>
            <w:pPr>
              <w:pStyle w:val="TableContents"/>
              <w:bidi w:val="0"/>
              <w:spacing w:before="0" w:after="0"/>
              <w:jc w:val="center"/>
              <w:rPr>
                <w:rFonts w:ascii="ARIAL" w:hAnsi="ARIAL"/>
                <w:b/>
                <w:sz w:val="14"/>
              </w:rPr>
            </w:pPr>
            <w:r>
              <w:rPr>
                <w:rFonts w:ascii="ARIAL" w:hAnsi="ARIAL"/>
                <w:b/>
                <w:sz w:val="14"/>
              </w:rPr>
              <w:t>Exercise</w:t>
              <w:br/>
              <w:t>or Base</w:t>
              <w:br/>
              <w:t>Price of</w:t>
              <w:br/>
              <w:t>Option</w:t>
            </w:r>
          </w:p>
          <w:p>
            <w:pPr>
              <w:pStyle w:val="TableContents"/>
              <w:bidi w:val="0"/>
              <w:spacing w:before="0" w:after="20"/>
              <w:jc w:val="center"/>
              <w:rPr>
                <w:rFonts w:ascii="ARIAL" w:hAnsi="ARIAL"/>
                <w:b/>
                <w:sz w:val="14"/>
              </w:rPr>
            </w:pPr>
            <w:r>
              <w:rPr>
                <w:rFonts w:ascii="ARIAL" w:hAnsi="ARIAL"/>
                <w:b/>
                <w:sz w:val="14"/>
              </w:rPr>
              <w:t>Awards</w:t>
              <w:br/>
              <w:t>($/sh)</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gridSpan w:val="2"/>
            <w:vMerge w:val="restart"/>
            <w:tcBorders>
              <w:bottom w:val="single" w:sz="6" w:space="0" w:color="000000"/>
            </w:tcBorders>
            <w:tcMar>
              <w:bottom w:w="28" w:type="dxa"/>
            </w:tcMar>
            <w:vAlign w:val="center"/>
          </w:tcPr>
          <w:p>
            <w:pPr>
              <w:pStyle w:val="TableContents"/>
              <w:bidi w:val="0"/>
              <w:spacing w:before="0" w:after="0"/>
              <w:jc w:val="center"/>
              <w:rPr>
                <w:rFonts w:ascii="ARIAL" w:hAnsi="ARIAL"/>
                <w:b/>
                <w:sz w:val="14"/>
              </w:rPr>
            </w:pPr>
            <w:r>
              <w:rPr>
                <w:rFonts w:ascii="ARIAL" w:hAnsi="ARIAL"/>
                <w:b/>
                <w:sz w:val="14"/>
              </w:rPr>
              <w:t>Grant Date</w:t>
              <w:br/>
              <w:t>Fair Value</w:t>
              <w:br/>
              <w:t>of Stock</w:t>
              <w:br/>
              <w:t>and Option</w:t>
            </w:r>
          </w:p>
          <w:p>
            <w:pPr>
              <w:pStyle w:val="TableContents"/>
              <w:bidi w:val="0"/>
              <w:spacing w:before="0" w:after="20"/>
              <w:jc w:val="center"/>
              <w:rPr>
                <w:rFonts w:ascii="ARIAL" w:hAnsi="ARIAL"/>
                <w:b/>
                <w:sz w:val="14"/>
              </w:rPr>
            </w:pPr>
            <w:r>
              <w:rPr>
                <w:rFonts w:ascii="ARIAL" w:hAnsi="ARIAL"/>
                <w:b/>
                <w:sz w:val="14"/>
              </w:rPr>
              <w:t>Awards</w:t>
              <w:br/>
              <w:t>($)(7)</w:t>
            </w:r>
          </w:p>
        </w:tc>
        <w:tc>
          <w:tcPr>
            <w:tcW w:w="75"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520" w:type="dxa"/>
            <w:tcBorders>
              <w:bottom w:val="single" w:sz="6" w:space="0" w:color="000000"/>
            </w:tcBorders>
            <w:tcMar>
              <w:bottom w:w="28"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tcMar>
              <w:bottom w:w="28" w:type="dxa"/>
            </w:tcMar>
            <w:vAlign w:val="center"/>
          </w:tcPr>
          <w:p>
            <w:pPr>
              <w:pStyle w:val="TableContents"/>
              <w:bidi w:val="0"/>
              <w:spacing w:before="0" w:after="283"/>
              <w:jc w:val="center"/>
              <w:rPr>
                <w:b/>
                <w:sz w:val="14"/>
              </w:rPr>
            </w:pPr>
            <w:r>
              <w:rPr>
                <w:b/>
                <w:sz w:val="14"/>
              </w:rPr>
              <w:t>Grant</w:t>
              <w:b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tcMar>
              <w:bottom w:w="28" w:type="dxa"/>
            </w:tcMar>
            <w:vAlign w:val="center"/>
          </w:tcPr>
          <w:p>
            <w:pPr>
              <w:pStyle w:val="TableContents"/>
              <w:bidi w:val="0"/>
              <w:spacing w:before="0" w:after="283"/>
              <w:jc w:val="center"/>
              <w:rPr>
                <w:b/>
                <w:sz w:val="14"/>
              </w:rPr>
            </w:pPr>
            <w:r>
              <w:rPr>
                <w:b/>
                <w:sz w:val="14"/>
              </w:rPr>
              <w:t>Threshold</w:t>
              <w:br/>
              <w:t>($)(4)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tcMar>
              <w:bottom w:w="28" w:type="dxa"/>
            </w:tcMar>
            <w:vAlign w:val="center"/>
          </w:tcPr>
          <w:p>
            <w:pPr>
              <w:pStyle w:val="TableContents"/>
              <w:bidi w:val="0"/>
              <w:spacing w:before="0" w:after="283"/>
              <w:jc w:val="center"/>
              <w:rPr>
                <w:b/>
                <w:sz w:val="14"/>
              </w:rPr>
            </w:pPr>
            <w:r>
              <w:rPr>
                <w:b/>
                <w:sz w:val="14"/>
              </w:rPr>
              <w:t>Target</w:t>
              <w:br/>
              <w:t>($) (5)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tcMar>
              <w:bottom w:w="28" w:type="dxa"/>
            </w:tcMar>
            <w:vAlign w:val="center"/>
          </w:tcPr>
          <w:p>
            <w:pPr>
              <w:pStyle w:val="TableContents"/>
              <w:bidi w:val="0"/>
              <w:spacing w:before="0" w:after="283"/>
              <w:jc w:val="center"/>
              <w:rPr>
                <w:b/>
                <w:sz w:val="14"/>
              </w:rPr>
            </w:pPr>
            <w:r>
              <w:rPr>
                <w:b/>
                <w:sz w:val="14"/>
              </w:rPr>
              <w:t>Maximum</w:t>
              <w:br/>
              <w:t>($)(6)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center"/>
              <w:rPr>
                <w:b/>
                <w:sz w:val="14"/>
              </w:rPr>
            </w:pPr>
            <w:r>
              <w:rPr>
                <w:b/>
                <w:sz w:val="14"/>
              </w:rPr>
              <w:t>Threshold(#)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15" w:type="dxa"/>
            <w:tcBorders>
              <w:bottom w:val="single" w:sz="6" w:space="0" w:color="000000"/>
            </w:tcBorders>
            <w:tcMar>
              <w:bottom w:w="28" w:type="dxa"/>
            </w:tcMar>
            <w:vAlign w:val="center"/>
          </w:tcPr>
          <w:p>
            <w:pPr>
              <w:pStyle w:val="TableContents"/>
              <w:bidi w:val="0"/>
              <w:spacing w:before="0" w:after="283"/>
              <w:jc w:val="center"/>
              <w:rPr>
                <w:b/>
                <w:sz w:val="14"/>
              </w:rPr>
            </w:pPr>
            <w:r>
              <w:rPr>
                <w:b/>
                <w:sz w:val="14"/>
              </w:rPr>
              <w:t>Target</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tcMar>
              <w:bottom w:w="28" w:type="dxa"/>
            </w:tcMar>
            <w:vAlign w:val="center"/>
          </w:tcPr>
          <w:p>
            <w:pPr>
              <w:pStyle w:val="TableContents"/>
              <w:bidi w:val="0"/>
              <w:spacing w:before="0" w:after="283"/>
              <w:jc w:val="center"/>
              <w:rPr>
                <w:b/>
                <w:sz w:val="14"/>
              </w:rPr>
            </w:pPr>
            <w:r>
              <w:rPr>
                <w:b/>
                <w:sz w:val="14"/>
              </w:rPr>
              <w:t>Maximum</w:t>
              <w:br/>
              <w:t>(#)</w:t>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35"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71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59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830" w:type="dxa"/>
            <w:gridSpan w:val="2"/>
            <w:vMerge w:val="continue"/>
            <w:tcBorders>
              <w:bottom w:val="single" w:sz="6" w:space="0" w:color="000000"/>
            </w:tcBorders>
            <w:tcMar>
              <w:bottom w:w="28" w:type="dxa"/>
            </w:tcMar>
            <w:vAlign w:val="center"/>
          </w:tcPr>
          <w:p>
            <w:pPr>
              <w:pStyle w:val="Normal"/>
              <w:bidi w:val="0"/>
              <w:jc w:val="left"/>
              <w:rPr/>
            </w:pPr>
            <w:r>
              <w:rPr/>
            </w:r>
          </w:p>
        </w:tc>
        <w:tc>
          <w:tcPr>
            <w:tcW w:w="75" w:type="dxa"/>
            <w:vMerge w:val="continue"/>
            <w:tcBorders>
              <w:bottom w:val="single" w:sz="6" w:space="0" w:color="000000"/>
            </w:tcBorders>
            <w:tcMar>
              <w:bottom w:w="28" w:type="dxa"/>
            </w:tcMar>
            <w:vAlign w:val="center"/>
          </w:tcPr>
          <w:p>
            <w:pPr>
              <w:pStyle w:val="Normal"/>
              <w:bidi w:val="0"/>
              <w:jc w:val="left"/>
              <w:rPr/>
            </w:pPr>
            <w:r>
              <w:rPr/>
            </w:r>
          </w:p>
        </w:tc>
      </w:tr>
      <w:tr>
        <w:trPr/>
        <w:tc>
          <w:tcPr>
            <w:tcW w:w="9435" w:type="dxa"/>
            <w:gridSpan w:val="24"/>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75" w:type="dxa"/>
            <w:tcBorders>
              <w:bottom w:val="single" w:sz="6" w:space="0" w:color="000000"/>
            </w:tcBorders>
            <w:tcMar>
              <w:bottom w:w="28" w:type="dxa"/>
            </w:tcMar>
            <w:vAlign w:val="center"/>
          </w:tcPr>
          <w:p>
            <w:pPr>
              <w:pStyle w:val="TableContents"/>
              <w:bidi w:val="0"/>
              <w:spacing w:before="0" w:after="0"/>
              <w:jc w:val="left"/>
              <w:rPr/>
            </w:pPr>
            <w:r>
              <w:rPr/>
              <w:t> </w:t>
            </w:r>
          </w:p>
        </w:tc>
      </w:tr>
      <w:tr>
        <w:trPr/>
        <w:tc>
          <w:tcPr>
            <w:tcW w:w="1520" w:type="dxa"/>
            <w:tcBorders/>
            <w:shd w:fill="D5EBF6" w:val="clear"/>
            <w:vAlign w:val="center"/>
          </w:tcPr>
          <w:p>
            <w:pPr>
              <w:pStyle w:val="TableContents"/>
              <w:bidi w:val="0"/>
              <w:spacing w:before="0" w:after="0"/>
              <w:jc w:val="left"/>
              <w:rPr/>
            </w:pPr>
            <w:r>
              <w:rPr/>
              <w:t> </w:t>
            </w:r>
          </w:p>
          <w:p>
            <w:pPr>
              <w:pStyle w:val="TableContents"/>
              <w:bidi w:val="0"/>
              <w:spacing w:lineRule="atLeast" w:line="170" w:before="0" w:after="20"/>
              <w:jc w:val="left"/>
              <w:rPr>
                <w:rFonts w:ascii="ARIAL" w:hAnsi="ARIAL"/>
                <w:sz w:val="14"/>
              </w:rPr>
            </w:pPr>
            <w:r>
              <w:rPr>
                <w:rFonts w:ascii="ARIAL" w:hAnsi="ARIAL"/>
                <w:sz w:val="14"/>
              </w:rPr>
              <w:t>Christopher H. Peterson</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2,347,917</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4,695,833</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1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71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9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170" w:before="0" w:after="0"/>
              <w:jc w:val="left"/>
              <w:rPr/>
            </w:pPr>
            <w:r>
              <w:rPr/>
              <w:t> </w:t>
            </w:r>
          </w:p>
        </w:tc>
        <w:tc>
          <w:tcPr>
            <w:tcW w:w="77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75" w:type="dxa"/>
            <w:tcBorders/>
            <w:shd w:fill="D5EBF6" w:val="clear"/>
            <w:vAlign w:val="center"/>
          </w:tcPr>
          <w:p>
            <w:pPr>
              <w:pStyle w:val="TableContents"/>
              <w:bidi w:val="0"/>
              <w:spacing w:lineRule="atLeast" w:line="170" w:before="0" w:after="0"/>
              <w:jc w:val="left"/>
              <w:rPr/>
            </w:pPr>
            <w:r>
              <w:rPr/>
              <w:t> </w:t>
            </w:r>
          </w:p>
        </w:tc>
      </w:tr>
      <w:tr>
        <w:trPr/>
        <w:tc>
          <w:tcPr>
            <w:tcW w:w="1520" w:type="dxa"/>
            <w:tcBorders/>
            <w:shd w:fill="D5EBF6" w:val="clear"/>
            <w:vAlign w:val="center"/>
          </w:tcPr>
          <w:p>
            <w:pPr>
              <w:pStyle w:val="TableContents"/>
              <w:bidi w:val="0"/>
              <w:spacing w:lineRule="atLeast" w:line="170" w:before="0" w:after="0"/>
              <w:jc w:val="left"/>
              <w:rPr>
                <w:rFonts w:ascii="ARIAL" w:hAnsi="ARIAL"/>
                <w:sz w:val="14"/>
              </w:rPr>
            </w:pPr>
            <w:r>
              <w:rPr>
                <w:rFonts w:ascii="ARIAL" w:hAnsi="ARIAL"/>
                <w:sz w:val="14"/>
              </w:rPr>
              <w:t>(2)  </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2/17/2025</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1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637,845</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1,275,690</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71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9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170" w:before="0" w:after="0"/>
              <w:jc w:val="left"/>
              <w:rPr/>
            </w:pPr>
            <w:r>
              <w:rPr/>
              <w:t> </w:t>
            </w:r>
          </w:p>
        </w:tc>
        <w:tc>
          <w:tcPr>
            <w:tcW w:w="770" w:type="dxa"/>
            <w:tcBorders/>
            <w:shd w:fill="D5EBF6" w:val="clear"/>
            <w:vAlign w:val="center"/>
          </w:tcPr>
          <w:p>
            <w:pPr>
              <w:pStyle w:val="TableContents"/>
              <w:bidi w:val="0"/>
              <w:spacing w:lineRule="atLeast" w:line="170" w:before="0" w:after="0"/>
              <w:jc w:val="right"/>
              <w:rPr>
                <w:rFonts w:ascii="ARIAL" w:hAnsi="ARIAL"/>
                <w:sz w:val="14"/>
              </w:rPr>
            </w:pPr>
            <w:r>
              <w:rPr>
                <w:rFonts w:ascii="ARIAL" w:hAnsi="ARIAL"/>
                <w:sz w:val="14"/>
              </w:rPr>
              <w:t>4,499,996 </w:t>
            </w:r>
          </w:p>
        </w:tc>
        <w:tc>
          <w:tcPr>
            <w:tcW w:w="75" w:type="dxa"/>
            <w:tcBorders/>
            <w:shd w:fill="D5EBF6" w:val="clear"/>
            <w:vAlign w:val="center"/>
          </w:tcPr>
          <w:p>
            <w:pPr>
              <w:pStyle w:val="TableContents"/>
              <w:bidi w:val="0"/>
              <w:spacing w:lineRule="atLeast" w:line="170" w:before="0" w:after="0"/>
              <w:jc w:val="left"/>
              <w:rPr/>
            </w:pPr>
            <w:r>
              <w:rPr/>
              <w:t> </w:t>
            </w:r>
          </w:p>
        </w:tc>
      </w:tr>
      <w:tr>
        <w:trPr/>
        <w:tc>
          <w:tcPr>
            <w:tcW w:w="1520" w:type="dxa"/>
            <w:tcBorders/>
            <w:shd w:fill="D5EBF6" w:val="clear"/>
            <w:vAlign w:val="center"/>
          </w:tcPr>
          <w:p>
            <w:pPr>
              <w:pStyle w:val="TableContents"/>
              <w:bidi w:val="0"/>
              <w:spacing w:lineRule="atLeast" w:line="170" w:before="0" w:after="0"/>
              <w:jc w:val="left"/>
              <w:rPr>
                <w:rFonts w:ascii="ARIAL" w:hAnsi="ARIAL"/>
                <w:sz w:val="14"/>
              </w:rPr>
            </w:pPr>
            <w:r>
              <w:rPr>
                <w:rFonts w:ascii="ARIAL" w:hAnsi="ARIAL"/>
                <w:sz w:val="14"/>
              </w:rPr>
              <w:t>(3)  </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2/17/2025</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1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637,845</w:t>
            </w:r>
          </w:p>
        </w:tc>
        <w:tc>
          <w:tcPr>
            <w:tcW w:w="60" w:type="dxa"/>
            <w:tcBorders/>
            <w:shd w:fill="D5EBF6" w:val="clear"/>
            <w:vAlign w:val="center"/>
          </w:tcPr>
          <w:p>
            <w:pPr>
              <w:pStyle w:val="TableContents"/>
              <w:bidi w:val="0"/>
              <w:spacing w:before="0" w:after="283"/>
              <w:jc w:val="left"/>
              <w:rPr/>
            </w:pPr>
            <w:r>
              <w:rPr/>
              <w:t> </w:t>
            </w:r>
          </w:p>
        </w:tc>
        <w:tc>
          <w:tcPr>
            <w:tcW w:w="71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9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170" w:before="0" w:after="0"/>
              <w:jc w:val="left"/>
              <w:rPr/>
            </w:pPr>
            <w:r>
              <w:rPr/>
              <w:t> </w:t>
            </w:r>
          </w:p>
        </w:tc>
        <w:tc>
          <w:tcPr>
            <w:tcW w:w="770" w:type="dxa"/>
            <w:tcBorders/>
            <w:shd w:fill="D5EBF6" w:val="clear"/>
            <w:vAlign w:val="center"/>
          </w:tcPr>
          <w:p>
            <w:pPr>
              <w:pStyle w:val="TableContents"/>
              <w:bidi w:val="0"/>
              <w:spacing w:lineRule="atLeast" w:line="170" w:before="0" w:after="0"/>
              <w:jc w:val="right"/>
              <w:rPr>
                <w:rFonts w:ascii="ARIAL" w:hAnsi="ARIAL"/>
                <w:sz w:val="14"/>
              </w:rPr>
            </w:pPr>
            <w:r>
              <w:rPr>
                <w:rFonts w:ascii="ARIAL" w:hAnsi="ARIAL"/>
                <w:sz w:val="14"/>
              </w:rPr>
              <w:t>4,499,996 </w:t>
            </w:r>
          </w:p>
        </w:tc>
        <w:tc>
          <w:tcPr>
            <w:tcW w:w="75" w:type="dxa"/>
            <w:tcBorders/>
            <w:shd w:fill="D5EBF6" w:val="clear"/>
            <w:vAlign w:val="center"/>
          </w:tcPr>
          <w:p>
            <w:pPr>
              <w:pStyle w:val="TableContents"/>
              <w:bidi w:val="0"/>
              <w:spacing w:lineRule="atLeast" w:line="170" w:before="0" w:after="0"/>
              <w:jc w:val="left"/>
              <w:rPr/>
            </w:pPr>
            <w:r>
              <w:rPr/>
              <w:t> </w:t>
            </w:r>
          </w:p>
        </w:tc>
      </w:tr>
      <w:tr>
        <w:trPr/>
        <w:tc>
          <w:tcPr>
            <w:tcW w:w="1520" w:type="dxa"/>
            <w:tcBorders/>
            <w:vAlign w:val="center"/>
          </w:tcPr>
          <w:p>
            <w:pPr>
              <w:pStyle w:val="TableContents"/>
              <w:bidi w:val="0"/>
              <w:spacing w:before="0" w:after="0"/>
              <w:jc w:val="left"/>
              <w:rPr/>
            </w:pPr>
            <w:r>
              <w:rPr/>
              <w:t> </w:t>
            </w:r>
          </w:p>
          <w:p>
            <w:pPr>
              <w:pStyle w:val="TableContents"/>
              <w:bidi w:val="0"/>
              <w:spacing w:lineRule="atLeast" w:line="170" w:before="0" w:after="20"/>
              <w:jc w:val="left"/>
              <w:rPr>
                <w:rFonts w:ascii="ARIAL" w:hAnsi="ARIAL"/>
                <w:sz w:val="14"/>
              </w:rPr>
            </w:pPr>
            <w:r>
              <w:rPr>
                <w:rFonts w:ascii="ARIAL" w:hAnsi="ARIAL"/>
                <w:sz w:val="14"/>
              </w:rPr>
              <w:t>Mark J. Erceg</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985,000</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1,970,000</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70" w:before="0" w:after="0"/>
              <w:jc w:val="left"/>
              <w:rPr/>
            </w:pPr>
            <w:r>
              <w:rPr/>
              <w:t> </w:t>
            </w:r>
          </w:p>
        </w:tc>
        <w:tc>
          <w:tcPr>
            <w:tcW w:w="77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75" w:type="dxa"/>
            <w:tcBorders/>
            <w:vAlign w:val="center"/>
          </w:tcPr>
          <w:p>
            <w:pPr>
              <w:pStyle w:val="TableContents"/>
              <w:bidi w:val="0"/>
              <w:spacing w:lineRule="atLeast" w:line="170" w:before="0" w:after="0"/>
              <w:jc w:val="left"/>
              <w:rPr/>
            </w:pPr>
            <w:r>
              <w:rPr/>
              <w:t> </w:t>
            </w:r>
          </w:p>
        </w:tc>
      </w:tr>
      <w:tr>
        <w:trPr/>
        <w:tc>
          <w:tcPr>
            <w:tcW w:w="1520" w:type="dxa"/>
            <w:tcBorders/>
            <w:vAlign w:val="center"/>
          </w:tcPr>
          <w:p>
            <w:pPr>
              <w:pStyle w:val="TableContents"/>
              <w:bidi w:val="0"/>
              <w:spacing w:lineRule="atLeast" w:line="170" w:before="0" w:after="0"/>
              <w:jc w:val="left"/>
              <w:rPr>
                <w:rFonts w:ascii="ARIAL" w:hAnsi="ARIAL"/>
                <w:sz w:val="14"/>
              </w:rPr>
            </w:pPr>
            <w:r>
              <w:rPr>
                <w:rFonts w:ascii="ARIAL" w:hAnsi="ARIAL"/>
                <w:sz w:val="14"/>
              </w:rPr>
              <w:t>(2)  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2/17/2025</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tLeast" w:line="170" w:before="0" w:after="0"/>
              <w:jc w:val="center"/>
              <w:rPr>
                <w:rFonts w:ascii="ARIAL" w:hAnsi="ARIAL"/>
                <w:sz w:val="14"/>
              </w:rPr>
            </w:pPr>
            <w:r>
              <w:rPr>
                <w:rFonts w:ascii="ARIAL" w:hAnsi="ARIAL"/>
                <w:sz w:val="14"/>
              </w:rPr>
              <w:t>277,728</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555,456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70" w:before="0" w:after="0"/>
              <w:jc w:val="left"/>
              <w:rPr/>
            </w:pPr>
            <w:r>
              <w:rPr/>
              <w:t> </w:t>
            </w:r>
          </w:p>
        </w:tc>
        <w:tc>
          <w:tcPr>
            <w:tcW w:w="770" w:type="dxa"/>
            <w:tcBorders/>
            <w:vAlign w:val="center"/>
          </w:tcPr>
          <w:p>
            <w:pPr>
              <w:pStyle w:val="TableContents"/>
              <w:bidi w:val="0"/>
              <w:spacing w:lineRule="atLeast" w:line="170" w:before="0" w:after="0"/>
              <w:jc w:val="right"/>
              <w:rPr>
                <w:rFonts w:ascii="ARIAL" w:hAnsi="ARIAL"/>
                <w:sz w:val="14"/>
              </w:rPr>
            </w:pPr>
            <w:r>
              <w:rPr>
                <w:rFonts w:ascii="ARIAL" w:hAnsi="ARIAL"/>
                <w:sz w:val="14"/>
              </w:rPr>
              <w:t>1,959,371 </w:t>
            </w:r>
          </w:p>
        </w:tc>
        <w:tc>
          <w:tcPr>
            <w:tcW w:w="75" w:type="dxa"/>
            <w:tcBorders/>
            <w:vAlign w:val="center"/>
          </w:tcPr>
          <w:p>
            <w:pPr>
              <w:pStyle w:val="TableContents"/>
              <w:bidi w:val="0"/>
              <w:spacing w:lineRule="atLeast" w:line="170" w:before="0" w:after="0"/>
              <w:jc w:val="left"/>
              <w:rPr/>
            </w:pPr>
            <w:r>
              <w:rPr/>
              <w:t> </w:t>
            </w:r>
          </w:p>
        </w:tc>
      </w:tr>
      <w:tr>
        <w:trPr/>
        <w:tc>
          <w:tcPr>
            <w:tcW w:w="1520" w:type="dxa"/>
            <w:tcBorders/>
            <w:vAlign w:val="center"/>
          </w:tcPr>
          <w:p>
            <w:pPr>
              <w:pStyle w:val="TableContents"/>
              <w:bidi w:val="0"/>
              <w:spacing w:lineRule="atLeast" w:line="170" w:before="0" w:after="0"/>
              <w:jc w:val="left"/>
              <w:rPr>
                <w:rFonts w:ascii="ARIAL" w:hAnsi="ARIAL"/>
                <w:sz w:val="14"/>
              </w:rPr>
            </w:pPr>
            <w:r>
              <w:rPr>
                <w:rFonts w:ascii="ARIAL" w:hAnsi="ARIAL"/>
                <w:sz w:val="14"/>
              </w:rPr>
              <w:t>(3)  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2/17/2025</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277,728</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70" w:before="0" w:after="0"/>
              <w:jc w:val="left"/>
              <w:rPr/>
            </w:pPr>
            <w:r>
              <w:rPr/>
              <w:t> </w:t>
            </w:r>
          </w:p>
        </w:tc>
        <w:tc>
          <w:tcPr>
            <w:tcW w:w="770" w:type="dxa"/>
            <w:tcBorders/>
            <w:vAlign w:val="center"/>
          </w:tcPr>
          <w:p>
            <w:pPr>
              <w:pStyle w:val="TableContents"/>
              <w:bidi w:val="0"/>
              <w:spacing w:lineRule="atLeast" w:line="170" w:before="0" w:after="0"/>
              <w:jc w:val="right"/>
              <w:rPr>
                <w:rFonts w:ascii="ARIAL" w:hAnsi="ARIAL"/>
                <w:sz w:val="14"/>
              </w:rPr>
            </w:pPr>
            <w:r>
              <w:rPr>
                <w:rFonts w:ascii="ARIAL" w:hAnsi="ARIAL"/>
                <w:sz w:val="14"/>
              </w:rPr>
              <w:t>1,959,371 </w:t>
            </w:r>
          </w:p>
        </w:tc>
        <w:tc>
          <w:tcPr>
            <w:tcW w:w="75" w:type="dxa"/>
            <w:tcBorders/>
            <w:vAlign w:val="center"/>
          </w:tcPr>
          <w:p>
            <w:pPr>
              <w:pStyle w:val="TableContents"/>
              <w:bidi w:val="0"/>
              <w:spacing w:lineRule="atLeast" w:line="170" w:before="0" w:after="0"/>
              <w:jc w:val="left"/>
              <w:rPr/>
            </w:pPr>
            <w:r>
              <w:rPr/>
              <w:t> </w:t>
            </w:r>
          </w:p>
        </w:tc>
      </w:tr>
      <w:tr>
        <w:trPr/>
        <w:tc>
          <w:tcPr>
            <w:tcW w:w="1520" w:type="dxa"/>
            <w:tcBorders/>
            <w:shd w:fill="D5EBF6" w:val="clear"/>
            <w:vAlign w:val="center"/>
          </w:tcPr>
          <w:p>
            <w:pPr>
              <w:pStyle w:val="TableContents"/>
              <w:bidi w:val="0"/>
              <w:spacing w:before="0" w:after="0"/>
              <w:jc w:val="left"/>
              <w:rPr/>
            </w:pPr>
            <w:r>
              <w:rPr/>
              <w:t> </w:t>
            </w:r>
          </w:p>
          <w:p>
            <w:pPr>
              <w:pStyle w:val="TableContents"/>
              <w:bidi w:val="0"/>
              <w:spacing w:lineRule="atLeast" w:line="170" w:before="0" w:after="20"/>
              <w:jc w:val="left"/>
              <w:rPr>
                <w:rFonts w:ascii="ARIAL" w:hAnsi="ARIAL"/>
                <w:sz w:val="14"/>
              </w:rPr>
            </w:pPr>
            <w:r>
              <w:rPr>
                <w:rFonts w:ascii="ARIAL" w:hAnsi="ARIAL"/>
                <w:sz w:val="14"/>
              </w:rPr>
              <w:t>Bradford R. Turner</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783,125</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1,566,250</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1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71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9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170" w:before="0" w:after="0"/>
              <w:jc w:val="left"/>
              <w:rPr/>
            </w:pPr>
            <w:r>
              <w:rPr/>
              <w:t> </w:t>
            </w:r>
          </w:p>
        </w:tc>
        <w:tc>
          <w:tcPr>
            <w:tcW w:w="77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75" w:type="dxa"/>
            <w:tcBorders/>
            <w:shd w:fill="D5EBF6" w:val="clear"/>
            <w:vAlign w:val="center"/>
          </w:tcPr>
          <w:p>
            <w:pPr>
              <w:pStyle w:val="TableContents"/>
              <w:bidi w:val="0"/>
              <w:spacing w:lineRule="atLeast" w:line="170" w:before="0" w:after="0"/>
              <w:jc w:val="left"/>
              <w:rPr/>
            </w:pPr>
            <w:r>
              <w:rPr/>
              <w:t> </w:t>
            </w:r>
          </w:p>
        </w:tc>
      </w:tr>
      <w:tr>
        <w:trPr/>
        <w:tc>
          <w:tcPr>
            <w:tcW w:w="1520" w:type="dxa"/>
            <w:tcBorders/>
            <w:shd w:fill="D5EBF6" w:val="clear"/>
            <w:vAlign w:val="center"/>
          </w:tcPr>
          <w:p>
            <w:pPr>
              <w:pStyle w:val="TableContents"/>
              <w:bidi w:val="0"/>
              <w:spacing w:lineRule="atLeast" w:line="170" w:before="0" w:after="0"/>
              <w:jc w:val="left"/>
              <w:rPr>
                <w:rFonts w:ascii="ARIAL" w:hAnsi="ARIAL"/>
                <w:sz w:val="14"/>
              </w:rPr>
            </w:pPr>
            <w:r>
              <w:rPr>
                <w:rFonts w:ascii="ARIAL" w:hAnsi="ARIAL"/>
                <w:sz w:val="14"/>
              </w:rPr>
              <w:t>(2)  </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2/17/2025</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1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138,199</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276,398</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71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9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170" w:before="0" w:after="0"/>
              <w:jc w:val="left"/>
              <w:rPr/>
            </w:pPr>
            <w:r>
              <w:rPr/>
              <w:t> </w:t>
            </w:r>
          </w:p>
        </w:tc>
        <w:tc>
          <w:tcPr>
            <w:tcW w:w="770" w:type="dxa"/>
            <w:tcBorders/>
            <w:shd w:fill="D5EBF6" w:val="clear"/>
            <w:vAlign w:val="center"/>
          </w:tcPr>
          <w:p>
            <w:pPr>
              <w:pStyle w:val="TableContents"/>
              <w:bidi w:val="0"/>
              <w:spacing w:lineRule="atLeast" w:line="170" w:before="0" w:after="0"/>
              <w:jc w:val="right"/>
              <w:rPr>
                <w:rFonts w:ascii="ARIAL" w:hAnsi="ARIAL"/>
                <w:sz w:val="14"/>
              </w:rPr>
            </w:pPr>
            <w:r>
              <w:rPr>
                <w:rFonts w:ascii="ARIAL" w:hAnsi="ARIAL"/>
                <w:sz w:val="14"/>
              </w:rPr>
              <w:t>974,994 </w:t>
            </w:r>
          </w:p>
        </w:tc>
        <w:tc>
          <w:tcPr>
            <w:tcW w:w="75" w:type="dxa"/>
            <w:tcBorders/>
            <w:shd w:fill="D5EBF6" w:val="clear"/>
            <w:vAlign w:val="center"/>
          </w:tcPr>
          <w:p>
            <w:pPr>
              <w:pStyle w:val="TableContents"/>
              <w:bidi w:val="0"/>
              <w:spacing w:lineRule="atLeast" w:line="170" w:before="0" w:after="0"/>
              <w:jc w:val="left"/>
              <w:rPr/>
            </w:pPr>
            <w:r>
              <w:rPr/>
              <w:t> </w:t>
            </w:r>
          </w:p>
        </w:tc>
      </w:tr>
      <w:tr>
        <w:trPr/>
        <w:tc>
          <w:tcPr>
            <w:tcW w:w="1520" w:type="dxa"/>
            <w:tcBorders/>
            <w:shd w:fill="D5EBF6" w:val="clear"/>
            <w:vAlign w:val="center"/>
          </w:tcPr>
          <w:p>
            <w:pPr>
              <w:pStyle w:val="TableContents"/>
              <w:bidi w:val="0"/>
              <w:spacing w:lineRule="atLeast" w:line="170" w:before="0" w:after="0"/>
              <w:jc w:val="left"/>
              <w:rPr>
                <w:rFonts w:ascii="ARIAL" w:hAnsi="ARIAL"/>
                <w:sz w:val="14"/>
              </w:rPr>
            </w:pPr>
            <w:r>
              <w:rPr>
                <w:rFonts w:ascii="ARIAL" w:hAnsi="ARIAL"/>
                <w:sz w:val="14"/>
              </w:rPr>
              <w:t>(3)  </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2/17/2025</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1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138,199</w:t>
            </w:r>
          </w:p>
        </w:tc>
        <w:tc>
          <w:tcPr>
            <w:tcW w:w="60" w:type="dxa"/>
            <w:tcBorders/>
            <w:shd w:fill="D5EBF6" w:val="clear"/>
            <w:vAlign w:val="center"/>
          </w:tcPr>
          <w:p>
            <w:pPr>
              <w:pStyle w:val="TableContents"/>
              <w:bidi w:val="0"/>
              <w:spacing w:before="0" w:after="283"/>
              <w:jc w:val="left"/>
              <w:rPr/>
            </w:pPr>
            <w:r>
              <w:rPr/>
              <w:t> </w:t>
            </w:r>
          </w:p>
        </w:tc>
        <w:tc>
          <w:tcPr>
            <w:tcW w:w="71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9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170" w:before="0" w:after="0"/>
              <w:jc w:val="left"/>
              <w:rPr/>
            </w:pPr>
            <w:r>
              <w:rPr/>
              <w:t> </w:t>
            </w:r>
          </w:p>
        </w:tc>
        <w:tc>
          <w:tcPr>
            <w:tcW w:w="770" w:type="dxa"/>
            <w:tcBorders/>
            <w:shd w:fill="D5EBF6" w:val="clear"/>
            <w:vAlign w:val="center"/>
          </w:tcPr>
          <w:p>
            <w:pPr>
              <w:pStyle w:val="TableContents"/>
              <w:bidi w:val="0"/>
              <w:spacing w:lineRule="atLeast" w:line="170" w:before="0" w:after="0"/>
              <w:jc w:val="right"/>
              <w:rPr>
                <w:rFonts w:ascii="ARIAL" w:hAnsi="ARIAL"/>
                <w:sz w:val="14"/>
              </w:rPr>
            </w:pPr>
            <w:r>
              <w:rPr>
                <w:rFonts w:ascii="ARIAL" w:hAnsi="ARIAL"/>
                <w:sz w:val="14"/>
              </w:rPr>
              <w:t>974,994 </w:t>
            </w:r>
          </w:p>
        </w:tc>
        <w:tc>
          <w:tcPr>
            <w:tcW w:w="75" w:type="dxa"/>
            <w:tcBorders/>
            <w:shd w:fill="D5EBF6" w:val="clear"/>
            <w:vAlign w:val="center"/>
          </w:tcPr>
          <w:p>
            <w:pPr>
              <w:pStyle w:val="TableContents"/>
              <w:bidi w:val="0"/>
              <w:spacing w:lineRule="atLeast" w:line="170" w:before="0" w:after="0"/>
              <w:jc w:val="left"/>
              <w:rPr/>
            </w:pPr>
            <w:r>
              <w:rPr/>
              <w:t> </w:t>
            </w:r>
          </w:p>
        </w:tc>
      </w:tr>
      <w:tr>
        <w:trPr/>
        <w:tc>
          <w:tcPr>
            <w:tcW w:w="1520" w:type="dxa"/>
            <w:tcBorders/>
            <w:vAlign w:val="center"/>
          </w:tcPr>
          <w:p>
            <w:pPr>
              <w:pStyle w:val="TableContents"/>
              <w:bidi w:val="0"/>
              <w:spacing w:before="0" w:after="0"/>
              <w:jc w:val="left"/>
              <w:rPr/>
            </w:pPr>
            <w:r>
              <w:rPr/>
              <w:t> </w:t>
            </w:r>
          </w:p>
          <w:p>
            <w:pPr>
              <w:pStyle w:val="TableContents"/>
              <w:bidi w:val="0"/>
              <w:spacing w:lineRule="atLeast" w:line="170" w:before="0" w:after="20"/>
              <w:jc w:val="left"/>
              <w:rPr>
                <w:rFonts w:ascii="ARIAL" w:hAnsi="ARIAL"/>
                <w:sz w:val="14"/>
              </w:rPr>
            </w:pPr>
            <w:r>
              <w:rPr>
                <w:rFonts w:ascii="ARIAL" w:hAnsi="ARIAL"/>
                <w:sz w:val="14"/>
              </w:rPr>
              <w:t>Tracy L. Platt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652,500</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1,305,000</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70" w:before="0" w:after="0"/>
              <w:jc w:val="left"/>
              <w:rPr/>
            </w:pPr>
            <w:r>
              <w:rPr/>
              <w:t> </w:t>
            </w:r>
          </w:p>
        </w:tc>
        <w:tc>
          <w:tcPr>
            <w:tcW w:w="77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75" w:type="dxa"/>
            <w:tcBorders/>
            <w:vAlign w:val="center"/>
          </w:tcPr>
          <w:p>
            <w:pPr>
              <w:pStyle w:val="TableContents"/>
              <w:bidi w:val="0"/>
              <w:spacing w:lineRule="atLeast" w:line="170" w:before="0" w:after="0"/>
              <w:jc w:val="left"/>
              <w:rPr/>
            </w:pPr>
            <w:r>
              <w:rPr/>
              <w:t> </w:t>
            </w:r>
          </w:p>
        </w:tc>
      </w:tr>
      <w:tr>
        <w:trPr/>
        <w:tc>
          <w:tcPr>
            <w:tcW w:w="1520" w:type="dxa"/>
            <w:tcBorders/>
            <w:vAlign w:val="center"/>
          </w:tcPr>
          <w:p>
            <w:pPr>
              <w:pStyle w:val="TableContents"/>
              <w:bidi w:val="0"/>
              <w:spacing w:lineRule="atLeast" w:line="170" w:before="0" w:after="0"/>
              <w:jc w:val="left"/>
              <w:rPr>
                <w:rFonts w:ascii="ARIAL" w:hAnsi="ARIAL"/>
                <w:sz w:val="14"/>
              </w:rPr>
            </w:pPr>
            <w:r>
              <w:rPr>
                <w:rFonts w:ascii="ARIAL" w:hAnsi="ARIAL"/>
                <w:sz w:val="14"/>
              </w:rPr>
              <w:t>(2)  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2/17/2025</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tLeast" w:line="170" w:before="0" w:after="0"/>
              <w:jc w:val="center"/>
              <w:rPr>
                <w:rFonts w:ascii="ARIAL" w:hAnsi="ARIAL"/>
                <w:sz w:val="14"/>
              </w:rPr>
            </w:pPr>
            <w:r>
              <w:rPr>
                <w:rFonts w:ascii="ARIAL" w:hAnsi="ARIAL"/>
                <w:sz w:val="14"/>
              </w:rPr>
              <w:t>126,754</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253,508</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70" w:before="0" w:after="0"/>
              <w:jc w:val="left"/>
              <w:rPr/>
            </w:pPr>
            <w:r>
              <w:rPr/>
              <w:t> </w:t>
            </w:r>
          </w:p>
        </w:tc>
        <w:tc>
          <w:tcPr>
            <w:tcW w:w="770" w:type="dxa"/>
            <w:tcBorders/>
            <w:vAlign w:val="center"/>
          </w:tcPr>
          <w:p>
            <w:pPr>
              <w:pStyle w:val="TableContents"/>
              <w:bidi w:val="0"/>
              <w:spacing w:lineRule="atLeast" w:line="170" w:before="0" w:after="0"/>
              <w:jc w:val="right"/>
              <w:rPr>
                <w:rFonts w:ascii="ARIAL" w:hAnsi="ARIAL"/>
                <w:sz w:val="14"/>
              </w:rPr>
            </w:pPr>
            <w:r>
              <w:rPr>
                <w:rFonts w:ascii="ARIAL" w:hAnsi="ARIAL"/>
                <w:sz w:val="14"/>
              </w:rPr>
              <w:t>894,249 </w:t>
            </w:r>
          </w:p>
        </w:tc>
        <w:tc>
          <w:tcPr>
            <w:tcW w:w="75" w:type="dxa"/>
            <w:tcBorders/>
            <w:vAlign w:val="center"/>
          </w:tcPr>
          <w:p>
            <w:pPr>
              <w:pStyle w:val="TableContents"/>
              <w:bidi w:val="0"/>
              <w:spacing w:lineRule="atLeast" w:line="170" w:before="0" w:after="0"/>
              <w:jc w:val="left"/>
              <w:rPr/>
            </w:pPr>
            <w:r>
              <w:rPr/>
              <w:t> </w:t>
            </w:r>
          </w:p>
        </w:tc>
      </w:tr>
      <w:tr>
        <w:trPr/>
        <w:tc>
          <w:tcPr>
            <w:tcW w:w="1520" w:type="dxa"/>
            <w:tcBorders/>
            <w:vAlign w:val="center"/>
          </w:tcPr>
          <w:p>
            <w:pPr>
              <w:pStyle w:val="TableContents"/>
              <w:bidi w:val="0"/>
              <w:spacing w:lineRule="atLeast" w:line="170" w:before="0" w:after="0"/>
              <w:jc w:val="left"/>
              <w:rPr>
                <w:rFonts w:ascii="ARIAL" w:hAnsi="ARIAL"/>
                <w:sz w:val="14"/>
              </w:rPr>
            </w:pPr>
            <w:r>
              <w:rPr>
                <w:rFonts w:ascii="ARIAL" w:hAnsi="ARIAL"/>
                <w:sz w:val="14"/>
              </w:rPr>
              <w:t>(3)  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2/17/2025</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70" w:before="0" w:after="0"/>
              <w:jc w:val="center"/>
              <w:rPr>
                <w:rFonts w:ascii="ARIAL" w:hAnsi="ARIAL"/>
                <w:sz w:val="14"/>
              </w:rPr>
            </w:pPr>
            <w:r>
              <w:rPr>
                <w:rFonts w:ascii="ARIAL" w:hAnsi="ARIAL"/>
                <w:sz w:val="14"/>
              </w:rPr>
              <w:t>126,754</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70" w:before="0" w:after="0"/>
              <w:jc w:val="left"/>
              <w:rPr/>
            </w:pPr>
            <w:r>
              <w:rPr/>
              <w:t> </w:t>
            </w:r>
          </w:p>
        </w:tc>
        <w:tc>
          <w:tcPr>
            <w:tcW w:w="770" w:type="dxa"/>
            <w:tcBorders/>
            <w:vAlign w:val="center"/>
          </w:tcPr>
          <w:p>
            <w:pPr>
              <w:pStyle w:val="TableContents"/>
              <w:bidi w:val="0"/>
              <w:spacing w:lineRule="atLeast" w:line="170" w:before="0" w:after="0"/>
              <w:jc w:val="right"/>
              <w:rPr>
                <w:rFonts w:ascii="ARIAL" w:hAnsi="ARIAL"/>
                <w:sz w:val="14"/>
              </w:rPr>
            </w:pPr>
            <w:r>
              <w:rPr>
                <w:rFonts w:ascii="ARIAL" w:hAnsi="ARIAL"/>
                <w:sz w:val="14"/>
              </w:rPr>
              <w:t>894,249 </w:t>
            </w:r>
          </w:p>
        </w:tc>
        <w:tc>
          <w:tcPr>
            <w:tcW w:w="75" w:type="dxa"/>
            <w:tcBorders/>
            <w:vAlign w:val="center"/>
          </w:tcPr>
          <w:p>
            <w:pPr>
              <w:pStyle w:val="TableContents"/>
              <w:bidi w:val="0"/>
              <w:spacing w:lineRule="atLeast" w:line="170" w:before="0" w:after="0"/>
              <w:jc w:val="left"/>
              <w:rPr/>
            </w:pPr>
            <w:r>
              <w:rPr/>
              <w:t> </w:t>
            </w:r>
          </w:p>
        </w:tc>
      </w:tr>
      <w:tr>
        <w:trPr/>
        <w:tc>
          <w:tcPr>
            <w:tcW w:w="1520" w:type="dxa"/>
            <w:tcBorders/>
            <w:shd w:fill="D5EBF6" w:val="clear"/>
            <w:vAlign w:val="center"/>
          </w:tcPr>
          <w:p>
            <w:pPr>
              <w:pStyle w:val="TableContents"/>
              <w:bidi w:val="0"/>
              <w:spacing w:before="0" w:after="0"/>
              <w:jc w:val="left"/>
              <w:rPr/>
            </w:pPr>
            <w:r>
              <w:rPr/>
              <w:t> </w:t>
            </w:r>
          </w:p>
          <w:p>
            <w:pPr>
              <w:pStyle w:val="TableContents"/>
              <w:bidi w:val="0"/>
              <w:spacing w:lineRule="atLeast" w:line="170" w:before="0" w:after="20"/>
              <w:jc w:val="left"/>
              <w:rPr>
                <w:rFonts w:ascii="ARIAL" w:hAnsi="ARIAL"/>
                <w:sz w:val="14"/>
              </w:rPr>
            </w:pPr>
            <w:r>
              <w:rPr>
                <w:rFonts w:ascii="ARIAL" w:hAnsi="ARIAL"/>
                <w:sz w:val="14"/>
              </w:rPr>
              <w:t>Kristine K. Malkoski</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648,750</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1,297,500</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1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71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9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170" w:before="0" w:after="0"/>
              <w:jc w:val="left"/>
              <w:rPr/>
            </w:pPr>
            <w:r>
              <w:rPr/>
              <w:t> </w:t>
            </w:r>
          </w:p>
        </w:tc>
        <w:tc>
          <w:tcPr>
            <w:tcW w:w="77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75" w:type="dxa"/>
            <w:tcBorders/>
            <w:shd w:fill="D5EBF6" w:val="clear"/>
            <w:vAlign w:val="center"/>
          </w:tcPr>
          <w:p>
            <w:pPr>
              <w:pStyle w:val="TableContents"/>
              <w:bidi w:val="0"/>
              <w:spacing w:lineRule="atLeast" w:line="170" w:before="0" w:after="0"/>
              <w:jc w:val="left"/>
              <w:rPr/>
            </w:pPr>
            <w:r>
              <w:rPr/>
              <w:t> </w:t>
            </w:r>
          </w:p>
        </w:tc>
      </w:tr>
      <w:tr>
        <w:trPr/>
        <w:tc>
          <w:tcPr>
            <w:tcW w:w="1520" w:type="dxa"/>
            <w:tcBorders/>
            <w:shd w:fill="D5EBF6" w:val="clear"/>
            <w:vAlign w:val="center"/>
          </w:tcPr>
          <w:p>
            <w:pPr>
              <w:pStyle w:val="TableContents"/>
              <w:bidi w:val="0"/>
              <w:spacing w:lineRule="atLeast" w:line="170" w:before="0" w:after="0"/>
              <w:jc w:val="left"/>
              <w:rPr>
                <w:rFonts w:ascii="ARIAL" w:hAnsi="ARIAL"/>
                <w:sz w:val="14"/>
              </w:rPr>
            </w:pPr>
            <w:r>
              <w:rPr>
                <w:rFonts w:ascii="ARIAL" w:hAnsi="ARIAL"/>
                <w:sz w:val="14"/>
              </w:rPr>
              <w:t>(2)  </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2/17/2025</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1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102,763</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205,526</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71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9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170" w:before="0" w:after="0"/>
              <w:jc w:val="left"/>
              <w:rPr/>
            </w:pPr>
            <w:r>
              <w:rPr/>
              <w:t> </w:t>
            </w:r>
          </w:p>
        </w:tc>
        <w:tc>
          <w:tcPr>
            <w:tcW w:w="770" w:type="dxa"/>
            <w:tcBorders/>
            <w:shd w:fill="D5EBF6" w:val="clear"/>
            <w:vAlign w:val="center"/>
          </w:tcPr>
          <w:p>
            <w:pPr>
              <w:pStyle w:val="TableContents"/>
              <w:bidi w:val="0"/>
              <w:spacing w:lineRule="atLeast" w:line="170" w:before="0" w:after="0"/>
              <w:jc w:val="right"/>
              <w:rPr>
                <w:rFonts w:ascii="ARIAL" w:hAnsi="ARIAL"/>
                <w:sz w:val="14"/>
              </w:rPr>
            </w:pPr>
            <w:r>
              <w:rPr>
                <w:rFonts w:ascii="ARIAL" w:hAnsi="ARIAL"/>
                <w:sz w:val="14"/>
              </w:rPr>
              <w:t>724,993 </w:t>
            </w:r>
          </w:p>
        </w:tc>
        <w:tc>
          <w:tcPr>
            <w:tcW w:w="75" w:type="dxa"/>
            <w:tcBorders/>
            <w:shd w:fill="D5EBF6" w:val="clear"/>
            <w:vAlign w:val="center"/>
          </w:tcPr>
          <w:p>
            <w:pPr>
              <w:pStyle w:val="TableContents"/>
              <w:bidi w:val="0"/>
              <w:spacing w:lineRule="atLeast" w:line="170" w:before="0" w:after="0"/>
              <w:jc w:val="left"/>
              <w:rPr/>
            </w:pPr>
            <w:r>
              <w:rPr/>
              <w:t> </w:t>
            </w:r>
          </w:p>
        </w:tc>
      </w:tr>
      <w:tr>
        <w:trPr/>
        <w:tc>
          <w:tcPr>
            <w:tcW w:w="1520" w:type="dxa"/>
            <w:tcBorders/>
            <w:shd w:fill="D5EBF6" w:val="clear"/>
            <w:vAlign w:val="center"/>
          </w:tcPr>
          <w:p>
            <w:pPr>
              <w:pStyle w:val="TableContents"/>
              <w:bidi w:val="0"/>
              <w:spacing w:lineRule="atLeast" w:line="170" w:before="0" w:after="0"/>
              <w:jc w:val="left"/>
              <w:rPr>
                <w:rFonts w:ascii="ARIAL" w:hAnsi="ARIAL"/>
                <w:sz w:val="14"/>
              </w:rPr>
            </w:pPr>
            <w:r>
              <w:rPr>
                <w:rFonts w:ascii="ARIAL" w:hAnsi="ARIAL"/>
                <w:sz w:val="14"/>
              </w:rPr>
              <w:t>(3)  </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2/17/2025</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80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1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35"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102,763</w:t>
            </w:r>
          </w:p>
        </w:tc>
        <w:tc>
          <w:tcPr>
            <w:tcW w:w="60" w:type="dxa"/>
            <w:tcBorders/>
            <w:shd w:fill="D5EBF6" w:val="clear"/>
            <w:vAlign w:val="center"/>
          </w:tcPr>
          <w:p>
            <w:pPr>
              <w:pStyle w:val="TableContents"/>
              <w:bidi w:val="0"/>
              <w:spacing w:before="0" w:after="283"/>
              <w:jc w:val="left"/>
              <w:rPr/>
            </w:pPr>
            <w:r>
              <w:rPr/>
              <w:t> </w:t>
            </w:r>
          </w:p>
        </w:tc>
        <w:tc>
          <w:tcPr>
            <w:tcW w:w="71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590" w:type="dxa"/>
            <w:tcBorders/>
            <w:shd w:fill="D5EBF6" w:val="clear"/>
            <w:vAlign w:val="center"/>
          </w:tcPr>
          <w:p>
            <w:pPr>
              <w:pStyle w:val="TableContents"/>
              <w:bidi w:val="0"/>
              <w:spacing w:lineRule="atLeast" w:line="17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170" w:before="0" w:after="0"/>
              <w:jc w:val="left"/>
              <w:rPr/>
            </w:pPr>
            <w:r>
              <w:rPr/>
              <w:t> </w:t>
            </w:r>
          </w:p>
        </w:tc>
        <w:tc>
          <w:tcPr>
            <w:tcW w:w="770" w:type="dxa"/>
            <w:tcBorders/>
            <w:shd w:fill="D5EBF6" w:val="clear"/>
            <w:vAlign w:val="center"/>
          </w:tcPr>
          <w:p>
            <w:pPr>
              <w:pStyle w:val="TableContents"/>
              <w:bidi w:val="0"/>
              <w:spacing w:lineRule="atLeast" w:line="170" w:before="0" w:after="0"/>
              <w:jc w:val="right"/>
              <w:rPr>
                <w:rFonts w:ascii="ARIAL" w:hAnsi="ARIAL"/>
                <w:sz w:val="14"/>
              </w:rPr>
            </w:pPr>
            <w:r>
              <w:rPr>
                <w:rFonts w:ascii="ARIAL" w:hAnsi="ARIAL"/>
                <w:sz w:val="14"/>
              </w:rPr>
              <w:t>724,993 </w:t>
            </w:r>
          </w:p>
        </w:tc>
        <w:tc>
          <w:tcPr>
            <w:tcW w:w="75" w:type="dxa"/>
            <w:tcBorders/>
            <w:shd w:fill="D5EBF6" w:val="clear"/>
            <w:vAlign w:val="center"/>
          </w:tcPr>
          <w:p>
            <w:pPr>
              <w:pStyle w:val="TableContents"/>
              <w:bidi w:val="0"/>
              <w:spacing w:lineRule="atLeast" w:line="170" w:before="0" w:after="0"/>
              <w:jc w:val="left"/>
              <w:rPr/>
            </w:pPr>
            <w:r>
              <w:rPr/>
              <w:t> </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0"/>
              <w:jc w:val="both"/>
              <w:rPr>
                <w:rFonts w:ascii="ARIAL" w:hAnsi="ARIAL"/>
                <w:sz w:val="18"/>
              </w:rPr>
            </w:pPr>
            <w:r>
              <w:rPr>
                <w:rFonts w:ascii="ARIAL" w:hAnsi="ARIAL"/>
                <w:i/>
                <w:sz w:val="18"/>
                <w:u w:val="single"/>
              </w:rPr>
              <w:t>Estimated Possible Payouts Under Non-Equity Incentive Plan Awards.</w:t>
            </w:r>
            <w:r>
              <w:rPr>
                <w:rFonts w:ascii="ARIAL" w:hAnsi="ARIAL"/>
                <w:sz w:val="18"/>
              </w:rPr>
              <w:t xml:space="preserve"> Payouts under the Bonus Plan could be earned based on performance in 2025. Bonuses under the Bonus Plan were earned at 80% of target for Messrs. Peterson, Erceg and Turner and Ms. Platt, and 114% of target for Ms. Malkoski. Target and maximum amounts are based on base salary actually earned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both"/>
              <w:rPr>
                <w:rFonts w:ascii="ARIAL" w:hAnsi="ARIAL"/>
                <w:sz w:val="18"/>
              </w:rPr>
            </w:pPr>
            <w:r>
              <w:rPr>
                <w:rFonts w:ascii="ARIAL" w:hAnsi="ARIAL"/>
                <w:i/>
                <w:sz w:val="18"/>
                <w:u w:val="single"/>
              </w:rPr>
              <w:t>Estimated Future Payouts Under Equity Incentive Plan Awards.</w:t>
            </w:r>
            <w:r>
              <w:rPr>
                <w:rFonts w:ascii="ARIAL" w:hAnsi="ARIAL"/>
                <w:sz w:val="18"/>
              </w:rPr>
              <w:t xml:space="preserve"> This row includes the number of PRSUs granted in 2025 to the named executive officers under the LTIP. The target number of shares shown in the table reflects the number of shares that will be earned if, for the PRSUs granted under the LTIP, the total performance conditions are met at the target level. The earned award, if any, will vest on the third anniversary of the grant date. Earned amounts for PRSUs granted under the LTIP will range from 0% to 200% of the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0"/>
              <w:jc w:val="both"/>
              <w:rPr>
                <w:rFonts w:ascii="ARIAL" w:hAnsi="ARIAL"/>
                <w:sz w:val="18"/>
              </w:rPr>
            </w:pPr>
            <w:r>
              <w:rPr>
                <w:rFonts w:ascii="ARIAL" w:hAnsi="ARIAL"/>
                <w:i/>
                <w:sz w:val="18"/>
                <w:u w:val="single"/>
              </w:rPr>
              <w:t>All Other Stock Awards: Number of Shares of Stock or Units</w:t>
            </w:r>
            <w:r>
              <w:rPr>
                <w:rFonts w:ascii="ARIAL" w:hAnsi="ARIAL"/>
                <w:sz w:val="18"/>
                <w:u w:val="single"/>
              </w:rPr>
              <w:t>.</w:t>
            </w:r>
            <w:r>
              <w:rPr>
                <w:rFonts w:ascii="ARIAL" w:hAnsi="ARIAL"/>
                <w:sz w:val="18"/>
              </w:rPr>
              <w:t xml:space="preserve"> This row includes the number of TRSUs granted in 2025 to the named executive officers under the LTIP. The awards shown in the table will vest ratably on each of the first three anniversaries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(4)</w:t>
            </w:r>
          </w:p>
        </w:tc>
        <w:tc>
          <w:tcPr>
            <w:tcW w:w="9965" w:type="dxa"/>
            <w:tcBorders/>
            <w:vAlign w:val="center"/>
          </w:tcPr>
          <w:p>
            <w:pPr>
              <w:pStyle w:val="TableContents"/>
              <w:bidi w:val="0"/>
              <w:spacing w:before="0" w:after="0"/>
              <w:jc w:val="both"/>
              <w:rPr>
                <w:rFonts w:ascii="ARIAL" w:hAnsi="ARIAL"/>
                <w:sz w:val="18"/>
              </w:rPr>
            </w:pPr>
            <w:r>
              <w:rPr>
                <w:rFonts w:ascii="ARIAL" w:hAnsi="ARIAL"/>
                <w:i/>
                <w:sz w:val="18"/>
                <w:u w:val="single"/>
              </w:rPr>
              <w:t>Estimated Possible Payouts Under Non-Equity Incentive Plan Awards-Threshold Payout</w:t>
            </w:r>
            <w:r>
              <w:rPr>
                <w:rFonts w:ascii="ARIAL" w:hAnsi="ARIAL"/>
                <w:sz w:val="18"/>
                <w:u w:val="single"/>
              </w:rPr>
              <w:t>.</w:t>
            </w:r>
            <w:r>
              <w:rPr>
                <w:rFonts w:ascii="ARIAL" w:hAnsi="ARIAL"/>
                <w:sz w:val="18"/>
              </w:rPr>
              <w:t xml:space="preserve"> Pursuant to the Bonus Plan, performance at or below a specific percentage of a target goal will result in no payment with respect to that performance goal. As a result, no payment is to be made under the Bonus Plan until a minimum performance level for a performance goal, or threshold, is met, and performance above such level will result in a payment ranging from $1 to the maximum amount, depending upon the level at which the goal was attained. For an explanation of the potential payouts under the Bonus Plan with respect to 2025 performance, see the caption titled “</w:t>
            </w:r>
            <w:r>
              <w:rPr>
                <w:rFonts w:ascii="ARIAL" w:hAnsi="ARIAL"/>
                <w:i/>
                <w:sz w:val="18"/>
              </w:rPr>
              <w:t xml:space="preserve">Compensation Discussion and Analysis </w:t>
            </w:r>
            <w:r>
              <w:rPr>
                <w:rFonts w:ascii="ARIAL" w:hAnsi="ARIAL"/>
                <w:sz w:val="18"/>
              </w:rPr>
              <w:t xml:space="preserve">- </w:t>
            </w:r>
            <w:r>
              <w:rPr>
                <w:rFonts w:ascii="ARIAL" w:hAnsi="ARIAL"/>
                <w:i/>
                <w:sz w:val="18"/>
              </w:rPr>
              <w:t xml:space="preserve">Key Elements of Executive Compensation </w:t>
            </w:r>
            <w:r>
              <w:rPr>
                <w:rFonts w:ascii="ARIAL" w:hAnsi="ARIAL"/>
                <w:sz w:val="18"/>
              </w:rPr>
              <w:t xml:space="preserve">- </w:t>
            </w:r>
            <w:r>
              <w:rPr>
                <w:rFonts w:ascii="ARIAL" w:hAnsi="ARIAL"/>
                <w:i/>
                <w:sz w:val="18"/>
              </w:rPr>
              <w:t>Annual Incentive Compensation</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0"/>
              <w:jc w:val="both"/>
              <w:rPr>
                <w:rFonts w:ascii="ARIAL" w:hAnsi="ARIAL"/>
                <w:sz w:val="18"/>
              </w:rPr>
            </w:pPr>
            <w:r>
              <w:rPr>
                <w:rFonts w:ascii="ARIAL" w:hAnsi="ARIAL"/>
                <w:i/>
                <w:sz w:val="18"/>
                <w:u w:val="single"/>
              </w:rPr>
              <w:t>Estimated Possible Payouts Under Non-Equity Incentive Plan Awards-Target Payout</w:t>
            </w:r>
            <w:r>
              <w:rPr>
                <w:rFonts w:ascii="ARIAL" w:hAnsi="ARIAL"/>
                <w:sz w:val="18"/>
                <w:u w:val="single"/>
              </w:rPr>
              <w:t>.</w:t>
            </w:r>
            <w:r>
              <w:rPr>
                <w:rFonts w:ascii="ARIAL" w:hAnsi="ARIAL"/>
                <w:sz w:val="18"/>
              </w:rPr>
              <w:t xml:space="preserve"> Under the Bonus Plan, the amounts shown in this column represent: (i) for Mr. Peterson, 175% of full year salary earned; (ii) for Mr. Erceg, 120% of full year salary earned; (iii) for Mr. Turner, 105% of full year salary earned; (iv) for Ms. Platt, 90% of full year salary earned; and (v) for Ms. Malkoski, 90% of full year salary earned.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(6)</w:t>
            </w:r>
          </w:p>
        </w:tc>
        <w:tc>
          <w:tcPr>
            <w:tcW w:w="9932" w:type="dxa"/>
            <w:tcBorders/>
            <w:vAlign w:val="center"/>
          </w:tcPr>
          <w:p>
            <w:pPr>
              <w:pStyle w:val="TableContents"/>
              <w:bidi w:val="0"/>
              <w:spacing w:before="0" w:after="0"/>
              <w:jc w:val="both"/>
              <w:rPr>
                <w:rFonts w:ascii="ARIAL" w:hAnsi="ARIAL"/>
                <w:sz w:val="18"/>
              </w:rPr>
            </w:pPr>
            <w:r>
              <w:rPr>
                <w:rFonts w:ascii="ARIAL" w:hAnsi="ARIAL"/>
                <w:i/>
                <w:sz w:val="18"/>
                <w:u w:val="single"/>
              </w:rPr>
              <w:t>Estimated Possible Payouts Under Non-Equity Incentive Plan Awards-Maximum Payout.</w:t>
            </w:r>
            <w:r>
              <w:rPr>
                <w:rFonts w:ascii="ARIAL" w:hAnsi="ARIAL"/>
                <w:sz w:val="18"/>
              </w:rPr>
              <w:t xml:space="preserve"> The amounts shown in these columns represent the maximum payout opportunities under the Bonus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(7)</w:t>
            </w:r>
          </w:p>
        </w:tc>
        <w:tc>
          <w:tcPr>
            <w:tcW w:w="9947" w:type="dxa"/>
            <w:tcBorders/>
            <w:vAlign w:val="center"/>
          </w:tcPr>
          <w:p>
            <w:pPr>
              <w:pStyle w:val="TableContents"/>
              <w:bidi w:val="0"/>
              <w:spacing w:before="0" w:after="0"/>
              <w:jc w:val="both"/>
              <w:rPr>
                <w:rFonts w:ascii="ARIAL" w:hAnsi="ARIAL"/>
                <w:sz w:val="18"/>
              </w:rPr>
            </w:pPr>
            <w:r>
              <w:rPr>
                <w:rFonts w:ascii="ARIAL" w:hAnsi="ARIAL"/>
                <w:i/>
                <w:sz w:val="18"/>
                <w:u w:val="single"/>
              </w:rPr>
              <w:t>Grant Date Fair Value of Stock and Option Awards</w:t>
            </w:r>
            <w:r>
              <w:rPr>
                <w:rFonts w:ascii="ARIAL" w:hAnsi="ARIAL"/>
                <w:sz w:val="18"/>
                <w:u w:val="single"/>
              </w:rPr>
              <w:t>.</w:t>
            </w:r>
            <w:r>
              <w:rPr>
                <w:rFonts w:ascii="ARIAL" w:hAnsi="ARIAL"/>
                <w:sz w:val="18"/>
              </w:rPr>
              <w:t xml:space="preserve"> This column shows the grant date fair value of awards of PRSUs and TRSUs granted to the named executive officers, computed in accordance with ASC 718, with the value of the PRSUs based on the probable outcome of the performance conditions.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2"/>
          <w:u w:val="single"/>
        </w:rPr>
      </w:pPr>
      <w:r>
        <w:rPr>
          <w:rFonts w:ascii="ARIAL" w:hAnsi="ARIAL"/>
          <w:b/>
          <w:sz w:val="22"/>
          <w:u w:val="single"/>
        </w:rPr>
        <w:t xml:space="preserve">Outstanding Equity Awards at 2025 Fiscal Year-End </w:t>
      </w:r>
    </w:p>
    <w:p>
      <w:pPr>
        <w:pStyle w:val="TextBody"/>
        <w:bidi w:val="0"/>
        <w:spacing w:before="0" w:after="0"/>
        <w:jc w:val="left"/>
        <w:rPr/>
      </w:pPr>
      <w:r>
        <w:rPr/>
        <w:t> </w:t>
      </w:r>
    </w:p>
    <w:tbl>
      <w:tblPr>
        <w:tblW w:w="11070" w:type="dxa"/>
        <w:jc w:val="left"/>
        <w:tblInd w:w="0" w:type="dxa"/>
        <w:tblLayout w:type="fixed"/>
        <w:tblCellMar>
          <w:top w:w="0" w:type="dxa"/>
          <w:left w:w="0" w:type="dxa"/>
          <w:bottom w:w="0" w:type="dxa"/>
          <w:right w:w="0" w:type="dxa"/>
        </w:tblCellMar>
      </w:tblPr>
      <w:tblGrid>
        <w:gridCol w:w="740"/>
        <w:gridCol w:w="60"/>
        <w:gridCol w:w="1265"/>
        <w:gridCol w:w="60"/>
        <w:gridCol w:w="1445"/>
        <w:gridCol w:w="60"/>
        <w:gridCol w:w="875"/>
        <w:gridCol w:w="60"/>
        <w:gridCol w:w="1115"/>
        <w:gridCol w:w="60"/>
        <w:gridCol w:w="1100"/>
        <w:gridCol w:w="60"/>
        <w:gridCol w:w="1220"/>
        <w:gridCol w:w="60"/>
        <w:gridCol w:w="1340"/>
        <w:gridCol w:w="60"/>
        <w:gridCol w:w="14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740" w:type="dxa"/>
            <w:tcBorders>
              <w:bottom w:val="single" w:sz="6" w:space="0" w:color="000000"/>
            </w:tcBorders>
            <w:tcMar>
              <w:bottom w:w="28" w:type="dxa"/>
            </w:tcMar>
            <w:vAlign w:val="center"/>
          </w:tcPr>
          <w:p>
            <w:pPr>
              <w:pStyle w:val="TableContents"/>
              <w:bidi w:val="0"/>
              <w:spacing w:before="0" w:after="0"/>
              <w:jc w:val="left"/>
              <w:rPr>
                <w:rFonts w:ascii="ARIAL" w:hAnsi="ARIAL"/>
                <w:b/>
                <w:sz w:val="12"/>
              </w:rPr>
            </w:pPr>
            <w:r>
              <w:rPr>
                <w:rFonts w:ascii="ARIAL" w:hAnsi="ARIAL"/>
                <w:b/>
                <w:sz w:val="12"/>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b/>
              </w:rPr>
            </w:pPr>
            <w:r>
              <w:rPr>
                <w:b/>
              </w:rPr>
              <w:t>Number</w:t>
              <w:br/>
              <w:t>Of Shares</w:t>
              <w:br/>
              <w:t>Or Units</w:t>
              <w:br/>
              <w:t>Of Stock</w:t>
              <w:br/>
              <w:t>That Have</w:t>
              <w:br/>
              <w:t>Not</w:t>
              <w:br/>
              <w:t>Vested</w:t>
              <w:b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b/>
              </w:rPr>
            </w:pPr>
            <w:r>
              <w:rPr>
                <w:b/>
              </w:rPr>
              <w:t>Market</w:t>
              <w:br/>
              <w:t>Value Of</w:t>
              <w:br/>
              <w:t>Shares</w:t>
              <w:br/>
              <w:t>Or Units Of</w:t>
              <w:br/>
              <w:t>Stock That</w:t>
              <w:br/>
              <w:t>Have Not</w:t>
              <w:br/>
              <w:t>Vested</w:t>
              <w:br/>
              <w:t>($)(2)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28" w:type="dxa"/>
            </w:tcMar>
            <w:vAlign w:val="center"/>
          </w:tcPr>
          <w:p>
            <w:pPr>
              <w:pStyle w:val="TableContents"/>
              <w:bidi w:val="0"/>
              <w:spacing w:before="0" w:after="283"/>
              <w:jc w:val="center"/>
              <w:rPr>
                <w:b/>
              </w:rPr>
            </w:pPr>
            <w:r>
              <w:rPr>
                <w:b/>
              </w:rPr>
              <w:t>Equity</w:t>
              <w:br/>
              <w:t>Incentive</w:t>
              <w:br/>
              <w:t>Plan</w:t>
              <w:br/>
              <w:t>Awards:</w:t>
              <w:br/>
              <w:t>Number of</w:t>
              <w:br/>
              <w:t>Unearned</w:t>
              <w:br/>
              <w:t>Shares,</w:t>
              <w:br/>
              <w:t>Units or</w:t>
              <w:br/>
              <w:t>Other Rights</w:t>
              <w:br/>
              <w:t>That Have</w:t>
              <w:br/>
              <w:t>Not</w:t>
              <w:br/>
              <w:t>Vested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28" w:type="dxa"/>
            </w:tcMar>
            <w:vAlign w:val="center"/>
          </w:tcPr>
          <w:p>
            <w:pPr>
              <w:pStyle w:val="TableContents"/>
              <w:bidi w:val="0"/>
              <w:spacing w:before="0" w:after="283"/>
              <w:jc w:val="center"/>
              <w:rPr>
                <w:b/>
              </w:rPr>
            </w:pPr>
            <w:r>
              <w:rPr>
                <w:b/>
              </w:rPr>
              <w:t>Equity</w:t>
              <w:br/>
              <w:t>Incentive Plan</w:t>
              <w:br/>
              <w:t>Awards:</w:t>
              <w:br/>
              <w:t>Market or</w:t>
              <w:br/>
              <w:t>Payout Value</w:t>
              <w:br/>
              <w:t>of Unearned</w:t>
              <w:br/>
              <w:t>Shares, Units</w:t>
              <w:br/>
              <w:t>or Other</w:t>
              <w:br/>
              <w:t>Rights That</w:t>
              <w:br/>
              <w:t>Have Not</w:t>
              <w:br/>
              <w:t>Vested</w:t>
              <w:br/>
              <w:t>($)(3)</w:t>
            </w:r>
          </w:p>
        </w:tc>
      </w:tr>
      <w:tr>
        <w:trPr/>
        <w:tc>
          <w:tcPr>
            <w:tcW w:w="11070" w:type="dxa"/>
            <w:gridSpan w:val="17"/>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0"/>
              <w:jc w:val="left"/>
              <w:rPr>
                <w:rFonts w:ascii="ARIAL" w:hAnsi="ARIAL"/>
                <w:sz w:val="14"/>
              </w:rPr>
            </w:pPr>
            <w:r>
              <w:rPr>
                <w:rFonts w:ascii="ARIAL" w:hAnsi="ARIAL"/>
                <w:sz w:val="14"/>
              </w:rPr>
              <w:t>Christopher H. Peterson(4)</w:t>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637,845</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2,372,783</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637,845</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2,372,783 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325,945</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1,212,515</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488,917</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1,818,771 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1,724,137</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6,413,790 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72,619</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270,143</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217,857</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810,428 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41,247</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153,439</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123,741</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460,317 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33,200</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22.59</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5/5/2032</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184,889</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25.86</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2/18/2032</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227,046</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23.79</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2/16/2031</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172,063</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20.02</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2/18/2030</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sz w:val="14"/>
              </w:rPr>
            </w:pPr>
            <w:r>
              <w:rPr>
                <w:rFonts w:ascii="ARIAL" w:hAnsi="ARIAL"/>
                <w:sz w:val="14"/>
              </w:rPr>
              <w:t>Mark J. Erceg(5)</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277,728</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1,033,148</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277,728</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1,033,148 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156,454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582,009</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234,680</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873,010 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827,586</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3,078,620 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40,269</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149,801</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120,805</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449,395 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344,115</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14.53</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1/9/2033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0"/>
              <w:jc w:val="left"/>
              <w:rPr>
                <w:rFonts w:ascii="ARIAL" w:hAnsi="ARIAL"/>
                <w:sz w:val="14"/>
              </w:rPr>
            </w:pPr>
            <w:r>
              <w:rPr>
                <w:rFonts w:ascii="ARIAL" w:hAnsi="ARIAL"/>
                <w:sz w:val="14"/>
              </w:rPr>
              <w:t>Bradford R. Turner(6)</w:t>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138,199</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514,100</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138,199</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514,100 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78,770</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293,024</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118,155</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439,537 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125,000</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465,000</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23,071</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85,824</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69,211</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257,465 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104,408</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25.86</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2/18/2032</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126,892</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23.79</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2/16/2031</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96,163</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20.02</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2/18/2030</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sz w:val="14"/>
              </w:rPr>
            </w:pPr>
            <w:r>
              <w:rPr>
                <w:rFonts w:ascii="ARIAL" w:hAnsi="ARIAL"/>
                <w:sz w:val="14"/>
              </w:rPr>
              <w:t>Tracy L. Platt(7)</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126,754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471,525</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126,754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471,525 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71,490</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265,943</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107,235</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398,914 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133,090</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495,095</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0"/>
              <w:jc w:val="left"/>
              <w:rPr>
                <w:rFonts w:ascii="ARIAL" w:hAnsi="ARIAL"/>
                <w:sz w:val="14"/>
              </w:rPr>
            </w:pPr>
            <w:r>
              <w:rPr>
                <w:rFonts w:ascii="ARIAL" w:hAnsi="ARIAL"/>
                <w:sz w:val="14"/>
              </w:rPr>
              <w:t>Kristine K. Malkoski(8)</w:t>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102,763</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382,278</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102,763</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382,278 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60,843</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226,336</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91,264</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339,502 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75,216</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279,804</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19,016</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70,740</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57,046</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212,211 </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49,376</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25.86</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2/18/2032</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64,037</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23.79</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2/16/2031</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1325" w:type="dxa"/>
            <w:gridSpan w:val="2"/>
            <w:tcBorders/>
            <w:shd w:fill="D5EBF6" w:val="clear"/>
            <w:vAlign w:val="center"/>
          </w:tcPr>
          <w:p>
            <w:pPr>
              <w:pStyle w:val="TableContents"/>
              <w:bidi w:val="0"/>
              <w:spacing w:before="0" w:after="283"/>
              <w:jc w:val="left"/>
              <w:rPr>
                <w:sz w:val="4"/>
                <w:szCs w:val="4"/>
              </w:rPr>
            </w:pPr>
            <w:r>
              <w:rPr>
                <w:sz w:val="4"/>
                <w:szCs w:val="4"/>
              </w:rPr>
            </w:r>
          </w:p>
        </w:tc>
        <w:tc>
          <w:tcPr>
            <w:tcW w:w="1505" w:type="dxa"/>
            <w:gridSpan w:val="2"/>
            <w:tcBorders/>
            <w:shd w:fill="D5EBF6" w:val="clear"/>
            <w:vAlign w:val="center"/>
          </w:tcPr>
          <w:p>
            <w:pPr>
              <w:pStyle w:val="TableContents"/>
              <w:bidi w:val="0"/>
              <w:spacing w:before="0" w:after="283"/>
              <w:jc w:val="left"/>
              <w:rPr>
                <w:sz w:val="4"/>
                <w:szCs w:val="4"/>
              </w:rPr>
            </w:pPr>
            <w:r>
              <w:rPr>
                <w:sz w:val="4"/>
                <w:szCs w:val="4"/>
              </w:rPr>
            </w:r>
          </w:p>
        </w:tc>
        <w:tc>
          <w:tcPr>
            <w:tcW w:w="935" w:type="dxa"/>
            <w:gridSpan w:val="2"/>
            <w:tcBorders/>
            <w:shd w:fill="D5EBF6" w:val="clear"/>
            <w:vAlign w:val="center"/>
          </w:tcPr>
          <w:p>
            <w:pPr>
              <w:pStyle w:val="TableContents"/>
              <w:bidi w:val="0"/>
              <w:spacing w:before="0" w:after="283"/>
              <w:jc w:val="left"/>
              <w:rPr>
                <w:sz w:val="4"/>
                <w:szCs w:val="4"/>
              </w:rPr>
            </w:pPr>
            <w:r>
              <w:rPr>
                <w:sz w:val="4"/>
                <w:szCs w:val="4"/>
              </w:rPr>
            </w:r>
          </w:p>
        </w:tc>
        <w:tc>
          <w:tcPr>
            <w:tcW w:w="1175" w:type="dxa"/>
            <w:gridSpan w:val="2"/>
            <w:tcBorders/>
            <w:shd w:fill="D5EBF6" w:val="clear"/>
            <w:vAlign w:val="center"/>
          </w:tcPr>
          <w:p>
            <w:pPr>
              <w:pStyle w:val="TableContents"/>
              <w:bidi w:val="0"/>
              <w:spacing w:before="0" w:after="283"/>
              <w:jc w:val="left"/>
              <w:rPr>
                <w:sz w:val="4"/>
                <w:szCs w:val="4"/>
              </w:rPr>
            </w:pPr>
            <w:r>
              <w:rPr>
                <w:sz w:val="4"/>
                <w:szCs w:val="4"/>
              </w:rPr>
            </w:r>
          </w:p>
        </w:tc>
        <w:tc>
          <w:tcPr>
            <w:tcW w:w="1160" w:type="dxa"/>
            <w:gridSpan w:val="2"/>
            <w:tcBorders/>
            <w:shd w:fill="D5EBF6" w:val="clear"/>
            <w:vAlign w:val="center"/>
          </w:tcPr>
          <w:p>
            <w:pPr>
              <w:pStyle w:val="TableContents"/>
              <w:bidi w:val="0"/>
              <w:spacing w:before="0" w:after="283"/>
              <w:jc w:val="left"/>
              <w:rPr>
                <w:sz w:val="4"/>
                <w:szCs w:val="4"/>
              </w:rPr>
            </w:pPr>
            <w:r>
              <w:rPr>
                <w:sz w:val="4"/>
                <w:szCs w:val="4"/>
              </w:rPr>
            </w:r>
          </w:p>
        </w:tc>
        <w:tc>
          <w:tcPr>
            <w:tcW w:w="1280" w:type="dxa"/>
            <w:gridSpan w:val="2"/>
            <w:tcBorders/>
            <w:shd w:fill="D5EBF6" w:val="clear"/>
            <w:vAlign w:val="center"/>
          </w:tcPr>
          <w:p>
            <w:pPr>
              <w:pStyle w:val="TableContents"/>
              <w:bidi w:val="0"/>
              <w:spacing w:before="0" w:after="283"/>
              <w:jc w:val="left"/>
              <w:rPr>
                <w:sz w:val="4"/>
                <w:szCs w:val="4"/>
              </w:rPr>
            </w:pPr>
            <w:r>
              <w:rPr>
                <w:sz w:val="4"/>
                <w:szCs w:val="4"/>
              </w:rPr>
            </w:r>
          </w:p>
        </w:tc>
        <w:tc>
          <w:tcPr>
            <w:tcW w:w="1400" w:type="dxa"/>
            <w:gridSpan w:val="2"/>
            <w:tcBorders/>
            <w:shd w:fill="D5EBF6" w:val="clear"/>
            <w:vAlign w:val="center"/>
          </w:tcPr>
          <w:p>
            <w:pPr>
              <w:pStyle w:val="TableContents"/>
              <w:bidi w:val="0"/>
              <w:spacing w:before="0" w:after="283"/>
              <w:jc w:val="left"/>
              <w:rPr>
                <w:sz w:val="4"/>
                <w:szCs w:val="4"/>
              </w:rPr>
            </w:pPr>
            <w:r>
              <w:rPr>
                <w:sz w:val="4"/>
                <w:szCs w:val="4"/>
              </w:rPr>
            </w:r>
          </w:p>
        </w:tc>
        <w:tc>
          <w:tcPr>
            <w:tcW w:w="155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4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1265" w:type="dxa"/>
            <w:tcBorders/>
            <w:shd w:fill="D5EBF6" w:val="clear"/>
            <w:vAlign w:val="center"/>
          </w:tcPr>
          <w:p>
            <w:pPr>
              <w:pStyle w:val="TableContents"/>
              <w:bidi w:val="0"/>
              <w:spacing w:before="0" w:after="283"/>
              <w:jc w:val="center"/>
              <w:rPr/>
            </w:pPr>
            <w:r>
              <w:rPr/>
              <w:t>41,212</w:t>
            </w:r>
          </w:p>
        </w:tc>
        <w:tc>
          <w:tcPr>
            <w:tcW w:w="60" w:type="dxa"/>
            <w:tcBorders/>
            <w:shd w:fill="D5EBF6" w:val="clear"/>
            <w:vAlign w:val="center"/>
          </w:tcPr>
          <w:p>
            <w:pPr>
              <w:pStyle w:val="TableContents"/>
              <w:bidi w:val="0"/>
              <w:spacing w:before="0" w:after="283"/>
              <w:jc w:val="left"/>
              <w:rPr/>
            </w:pPr>
            <w:r>
              <w:rPr/>
              <w:t> </w:t>
            </w:r>
          </w:p>
        </w:tc>
        <w:tc>
          <w:tcPr>
            <w:tcW w:w="1445"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875" w:type="dxa"/>
            <w:tcBorders/>
            <w:shd w:fill="D5EBF6" w:val="clear"/>
            <w:vAlign w:val="center"/>
          </w:tcPr>
          <w:p>
            <w:pPr>
              <w:pStyle w:val="TableContents"/>
              <w:bidi w:val="0"/>
              <w:spacing w:before="0" w:after="283"/>
              <w:jc w:val="center"/>
              <w:rPr/>
            </w:pPr>
            <w:r>
              <w:rPr/>
              <w:t>20.02</w:t>
            </w:r>
          </w:p>
        </w:tc>
        <w:tc>
          <w:tcPr>
            <w:tcW w:w="60" w:type="dxa"/>
            <w:tcBorders/>
            <w:shd w:fill="D5EBF6" w:val="clear"/>
            <w:vAlign w:val="center"/>
          </w:tcPr>
          <w:p>
            <w:pPr>
              <w:pStyle w:val="TableContents"/>
              <w:bidi w:val="0"/>
              <w:spacing w:before="0" w:after="283"/>
              <w:jc w:val="left"/>
              <w:rPr/>
            </w:pPr>
            <w:r>
              <w:rPr/>
              <w:t> </w:t>
            </w:r>
          </w:p>
        </w:tc>
        <w:tc>
          <w:tcPr>
            <w:tcW w:w="1115" w:type="dxa"/>
            <w:tcBorders/>
            <w:shd w:fill="D5EBF6" w:val="clear"/>
            <w:vAlign w:val="center"/>
          </w:tcPr>
          <w:p>
            <w:pPr>
              <w:pStyle w:val="TableContents"/>
              <w:bidi w:val="0"/>
              <w:spacing w:before="0" w:after="283"/>
              <w:jc w:val="center"/>
              <w:rPr/>
            </w:pPr>
            <w:r>
              <w:rPr/>
              <w:t>2/18/2030</w:t>
            </w:r>
          </w:p>
        </w:tc>
        <w:tc>
          <w:tcPr>
            <w:tcW w:w="60" w:type="dxa"/>
            <w:tcBorders/>
            <w:shd w:fill="D5EBF6" w:val="clear"/>
            <w:vAlign w:val="center"/>
          </w:tcPr>
          <w:p>
            <w:pPr>
              <w:pStyle w:val="TableContents"/>
              <w:bidi w:val="0"/>
              <w:spacing w:before="0" w:after="283"/>
              <w:jc w:val="left"/>
              <w:rPr/>
            </w:pPr>
            <w:r>
              <w:rPr/>
              <w:t> </w:t>
            </w:r>
          </w:p>
        </w:tc>
        <w:tc>
          <w:tcPr>
            <w:tcW w:w="110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34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1490" w:type="dxa"/>
            <w:tcBorders/>
            <w:shd w:fill="D5EBF6" w:val="clear"/>
            <w:vAlign w:val="center"/>
          </w:tcPr>
          <w:p>
            <w:pPr>
              <w:pStyle w:val="TableContents"/>
              <w:bidi w:val="0"/>
              <w:spacing w:before="0" w:after="283"/>
              <w:jc w:val="center"/>
              <w:rPr/>
            </w:pPr>
            <w:r>
              <w:rPr/>
              <w:t>-</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0"/>
              <w:jc w:val="both"/>
              <w:rPr>
                <w:rFonts w:ascii="ARIAL" w:hAnsi="ARIAL"/>
                <w:sz w:val="18"/>
              </w:rPr>
            </w:pPr>
            <w:r>
              <w:rPr>
                <w:rFonts w:ascii="ARIAL" w:hAnsi="ARIAL"/>
                <w:i/>
                <w:sz w:val="18"/>
                <w:u w:val="single"/>
              </w:rPr>
              <w:t>Number of Shares or Units of Stock That Have Not Vested</w:t>
            </w:r>
            <w:r>
              <w:rPr>
                <w:rFonts w:ascii="ARIAL" w:hAnsi="ARIAL"/>
                <w:sz w:val="18"/>
                <w:u w:val="single"/>
              </w:rPr>
              <w:t>.</w:t>
            </w:r>
            <w:r>
              <w:rPr>
                <w:rFonts w:ascii="ARIAL" w:hAnsi="ARIAL"/>
                <w:sz w:val="18"/>
              </w:rPr>
              <w:t xml:space="preserve"> Represents all TRSU awards held by the named executive officers as of December 31, 2025 and PRSU awards for which performance conditions were certified as of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both"/>
              <w:rPr>
                <w:rFonts w:ascii="ARIAL" w:hAnsi="ARIAL"/>
                <w:sz w:val="18"/>
              </w:rPr>
            </w:pPr>
            <w:r>
              <w:rPr>
                <w:rFonts w:ascii="ARIAL" w:hAnsi="ARIAL"/>
                <w:i/>
                <w:sz w:val="18"/>
                <w:u w:val="single"/>
              </w:rPr>
              <w:t>Market Value of Shares or Units of Stock That Have Not Vested</w:t>
            </w:r>
            <w:r>
              <w:rPr>
                <w:rFonts w:ascii="ARIAL" w:hAnsi="ARIAL"/>
                <w:sz w:val="18"/>
                <w:u w:val="single"/>
              </w:rPr>
              <w:t>.</w:t>
            </w:r>
            <w:r>
              <w:rPr>
                <w:rFonts w:ascii="ARIAL" w:hAnsi="ARIAL"/>
                <w:sz w:val="18"/>
              </w:rPr>
              <w:t xml:space="preserve"> Represents the value of the number of shares of common stock covered by TRSU awards, and PRSU awards for which performance conditions were certified as of December 31, 2025, using $3.72 (the closing market price of the Company’s common stock on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both"/>
              <w:rPr>
                <w:rFonts w:ascii="ARIAL" w:hAnsi="ARIAL"/>
                <w:sz w:val="18"/>
              </w:rPr>
            </w:pPr>
            <w:r>
              <w:rPr>
                <w:rFonts w:ascii="ARIAL" w:hAnsi="ARIAL"/>
                <w:i/>
                <w:sz w:val="18"/>
                <w:u w:val="single"/>
              </w:rPr>
              <w:t>Equity Incentive Plan Awards: Market or Payout Value of Unearned Shares, Units or Other Rights That Have Not Vested</w:t>
            </w:r>
            <w:r>
              <w:rPr>
                <w:rFonts w:ascii="ARIAL" w:hAnsi="ARIAL"/>
                <w:sz w:val="18"/>
                <w:u w:val="single"/>
              </w:rPr>
              <w:t>.</w:t>
            </w:r>
            <w:r>
              <w:rPr>
                <w:rFonts w:ascii="ARIAL" w:hAnsi="ARIAL"/>
                <w:sz w:val="18"/>
              </w:rPr>
              <w:t xml:space="preserve"> Represents the value of the number of shares of common stock covered by all PRSU awards (except those described above in footnote 2) using $3.72 (the closing market price of the Company’s common stock on December 31, 2025). The value provided assumes the PRSU awards are earned at target and any performance criteria are achieved. The PRSU awards vest following the end of the applicable performance cycle if certain performance goals are attained and, generally, if the executive remains employed by the Company. The actual number of shares issued upon settlement will depend on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the extent to which the performance goals are attained or exceeded. Based on the Company’s performance through the applicable performance period ending December 31, 2025, 93.8% of the PRSUs granted pursuant to the 2023 LTIP were or will be earned upon vesting of the awards in 2026. Based on the Company’s performance in 2024 and 2025, 200% of the PRSUs granted pursuant to the SIP to Messrs. Peterson and Erceg were earned upon vesting of the awards in February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both"/>
              <w:rPr>
                <w:rFonts w:ascii="ARIAL" w:hAnsi="ARIAL"/>
                <w:sz w:val="18"/>
              </w:rPr>
            </w:pPr>
            <w:r>
              <w:rPr>
                <w:rFonts w:ascii="ARIAL" w:hAnsi="ARIAL"/>
                <w:i/>
                <w:sz w:val="18"/>
                <w:u w:val="single"/>
              </w:rPr>
              <w:t>Vesting Dates-Peterson</w:t>
            </w:r>
            <w:r>
              <w:rPr>
                <w:rFonts w:ascii="ARIAL" w:hAnsi="ARIAL"/>
                <w:sz w:val="18"/>
                <w:u w:val="single"/>
              </w:rPr>
              <w:t>.</w:t>
            </w:r>
            <w:r>
              <w:rPr>
                <w:rFonts w:ascii="ARIAL" w:hAnsi="ARIAL"/>
                <w:sz w:val="18"/>
              </w:rPr>
              <w:t xml:space="preserve"> Mr. Peterson was granted 33,200 stock options on May 5, 2022; 184,889 stock options on February 18, 2022; 227,046 stock options on February 16, 2021; and 172,063 stock options on February 18, 2020. The exercise price per share of all stock options granted was equal to the closing price of a share of the Company’s common stock on their respective date of grant. All option awards are fully vested as of December 31, 2025. The vesting dates of his TRSU awards are as follows: February 16, 2026 (162,972 TRSUs); February 17, 2026 (212,615 TRSUs and 41,247 TRSUs); February 16, 2027 (162,973 TRSUs); May 16, 2026 (72,619); February 17, 2027 (212,615 TRSUs); and February 17, 2028 (212,615 TRSUs). The vesting dates of his PRSU awards are as follows: February 17, 2026 (123,741 PRSUs); February 27, 2026 (1,724,137 PRSUs); May 16, 2026 (217,857 PRSUs); February 16, 2027 (488,917 PRSUs); and February 17, 2028 (637,845 PRSUs).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both"/>
              <w:rPr>
                <w:rFonts w:ascii="ARIAL" w:hAnsi="ARIAL"/>
                <w:sz w:val="18"/>
              </w:rPr>
            </w:pPr>
            <w:r>
              <w:rPr>
                <w:rFonts w:ascii="ARIAL" w:hAnsi="ARIAL"/>
                <w:i/>
                <w:sz w:val="18"/>
                <w:u w:val="single"/>
              </w:rPr>
              <w:t>Vesting Dates-Erceg</w:t>
            </w:r>
            <w:r>
              <w:rPr>
                <w:rFonts w:ascii="ARIAL" w:hAnsi="ARIAL"/>
                <w:sz w:val="18"/>
                <w:u w:val="single"/>
              </w:rPr>
              <w:t>.</w:t>
            </w:r>
            <w:r>
              <w:rPr>
                <w:rFonts w:ascii="ARIAL" w:hAnsi="ARIAL"/>
                <w:sz w:val="18"/>
              </w:rPr>
              <w:t xml:space="preserve"> Mr. Erceg was granted 344,115 stock options on January 9, 2023, and the exercise price per share ($14.53) of the stock options was equal to the closing price of a share of the Company’s common stock on the date of grant. The option award vests on the fifth anniversary of the grant date. The vesting dates of his TRSU awards are as follows: February 16, 2026 (78,227 TRSUs); February 17, 2026 (40,269 TRSUs and 92,576 TRSUs); February 16, 2027 (78,227 TRSUs); February 17, 2027 (92,576 TRSUs); and February 17, 2028 (92,576 TRSUs). The vesting dates of his PRSU awards are as follows: February 17, 2026 (120,805 PRSUs); February 27, 2026 (827,586 PRSUs); February 16, 2027 (234,680 PRSUs); and February 17, 2028 (277,728 PRSU).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(6)</w:t>
            </w:r>
          </w:p>
        </w:tc>
        <w:tc>
          <w:tcPr>
            <w:tcW w:w="9967" w:type="dxa"/>
            <w:tcBorders/>
            <w:vAlign w:val="center"/>
          </w:tcPr>
          <w:p>
            <w:pPr>
              <w:pStyle w:val="TableContents"/>
              <w:bidi w:val="0"/>
              <w:spacing w:before="0" w:after="0"/>
              <w:jc w:val="both"/>
              <w:rPr>
                <w:rFonts w:ascii="ARIAL" w:hAnsi="ARIAL"/>
                <w:sz w:val="18"/>
              </w:rPr>
            </w:pPr>
            <w:r>
              <w:rPr>
                <w:rFonts w:ascii="ARIAL" w:hAnsi="ARIAL"/>
                <w:i/>
                <w:sz w:val="18"/>
                <w:u w:val="single"/>
              </w:rPr>
              <w:t>Vesting Dates-Turner</w:t>
            </w:r>
            <w:r>
              <w:rPr>
                <w:rFonts w:ascii="ARIAL" w:hAnsi="ARIAL"/>
                <w:sz w:val="18"/>
                <w:u w:val="single"/>
              </w:rPr>
              <w:t>.</w:t>
            </w:r>
            <w:r>
              <w:rPr>
                <w:rFonts w:ascii="ARIAL" w:hAnsi="ARIAL"/>
                <w:sz w:val="18"/>
              </w:rPr>
              <w:t xml:space="preserve"> Mr. Turner was granted 104,408 stock options on February 18, 2022; 126,892 stock options on February 16, 2021; and 96,163 stock options on February 18, 2020. The exercise price per share of all stock options granted was equal to the closing price of a share of the Company’s common stock on their respective date of grant. All option awards are fully vested as of December 31, 2025. The vesting dates of his TRSU awards are as follows: February 16, 2026 (39,385 TRSUs); February 17, 2026 (23,071 TRSUs and 46,066 TRSUs); July 5, 2026 (125,000 PRSUs which remain subject to continued employment but for which the performance conditions were satisfied as of December 31, 2025); February 16, 2027 (39,385 TRSUs); February 17, 2027 (46,066 TRSUs); and February 17, 2028 (46,067 TRSUs). The vesting dates of his PRSU awards are as follows: February 17, 2026 (69,211 PRSUs); February 16, 2027 (118,155 PRSUs); and February 17, 2028 (138,199 PRSUs).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(7)</w:t>
            </w:r>
          </w:p>
        </w:tc>
        <w:tc>
          <w:tcPr>
            <w:tcW w:w="9961" w:type="dxa"/>
            <w:tcBorders/>
            <w:vAlign w:val="center"/>
          </w:tcPr>
          <w:p>
            <w:pPr>
              <w:pStyle w:val="TableContents"/>
              <w:bidi w:val="0"/>
              <w:spacing w:before="0" w:after="0"/>
              <w:jc w:val="both"/>
              <w:rPr>
                <w:rFonts w:ascii="ARIAL" w:hAnsi="ARIAL"/>
                <w:sz w:val="18"/>
              </w:rPr>
            </w:pPr>
            <w:r>
              <w:rPr>
                <w:rFonts w:ascii="ARIAL" w:hAnsi="ARIAL"/>
                <w:i/>
                <w:sz w:val="18"/>
                <w:u w:val="single"/>
              </w:rPr>
              <w:t>Vesting Dates-Platt</w:t>
            </w:r>
            <w:r>
              <w:rPr>
                <w:rFonts w:ascii="ARIAL" w:hAnsi="ARIAL"/>
                <w:sz w:val="18"/>
                <w:u w:val="single"/>
              </w:rPr>
              <w:t>.</w:t>
            </w:r>
            <w:r>
              <w:rPr>
                <w:rFonts w:ascii="ARIAL" w:hAnsi="ARIAL"/>
                <w:sz w:val="18"/>
              </w:rPr>
              <w:t xml:space="preserve"> The vesting dates of Ms. Platt’s TRSU awards are as follows: February 16, 2026 (35,745 TRSUs); February 17, 2026 (42,251 TRSUs); December 04, 2026 (33,273 TRSUs and 99,817 PRSUs which remain subject to continued employment but for which the performance conditions were satisfied as of December 31, 2025); February 16, 2027 (35,745 TRSUs); February 17, 2027 (42,251 TRSUs); and February 17, 2028 (42,252 TRSUs). The vesting dates of her PRSU awards are as follows: February 16, 2027 (107,235 PRSUs); and February 17, 2028 (126,754 PRSUs).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(8)</w:t>
            </w:r>
          </w:p>
        </w:tc>
        <w:tc>
          <w:tcPr>
            <w:tcW w:w="9967" w:type="dxa"/>
            <w:tcBorders/>
            <w:vAlign w:val="center"/>
          </w:tcPr>
          <w:p>
            <w:pPr>
              <w:pStyle w:val="TableContents"/>
              <w:bidi w:val="0"/>
              <w:spacing w:before="0" w:after="0"/>
              <w:jc w:val="both"/>
              <w:rPr>
                <w:rFonts w:ascii="ARIAL" w:hAnsi="ARIAL"/>
                <w:sz w:val="18"/>
              </w:rPr>
            </w:pPr>
            <w:r>
              <w:rPr>
                <w:rFonts w:ascii="ARIAL" w:hAnsi="ARIAL"/>
                <w:i/>
                <w:sz w:val="18"/>
                <w:u w:val="single"/>
              </w:rPr>
              <w:t>Vesting Dates-Malkoski</w:t>
            </w:r>
            <w:r>
              <w:rPr>
                <w:rFonts w:ascii="ARIAL" w:hAnsi="ARIAL"/>
                <w:sz w:val="18"/>
                <w:u w:val="single"/>
              </w:rPr>
              <w:t>.</w:t>
            </w:r>
            <w:r>
              <w:rPr>
                <w:rFonts w:ascii="ARIAL" w:hAnsi="ARIAL"/>
                <w:sz w:val="18"/>
              </w:rPr>
              <w:t xml:space="preserve"> Ms. Malkoski was granted 49,376 stock options on February 18, 2022; 64,037 stock options on February 16, 2021; and 41,212 stock options on February 18, 2020. The exercise price per share of all stock options granted was equal to the closing price of a share of the Company’s common stock on their respective date of grant. All option awards are fully vested as of December 31, 2025. The vesting dates of her TRSU awards are as follows: February 16, 2026 (30,421 TRSUs); February 17, 2026 (19,016 TRSUs and 34,254 TRSUs); July 5, 2025 (75,216 PRSUs which have not yet been settled but for which the performance conditions were satisfied as of December 31, 2025); February 16, 2027 (30,422 TRSUs); February 17, 2027 (34,254 TRSUs); and February 17, 2028 (34,255 TRSUs). The vesting dates of her PRSU awards are as follows: February 17, 2026 (57,046 PRSUs); February 16, 2027 (91,264 PRSUs); and February 17, 2028 (102,763 PRSUs).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2"/>
          <w:u w:val="single"/>
        </w:rPr>
      </w:pPr>
      <w:r>
        <w:rPr>
          <w:rFonts w:ascii="ARIAL" w:hAnsi="ARIAL"/>
          <w:b/>
          <w:sz w:val="22"/>
          <w:u w:val="single"/>
        </w:rPr>
        <w:t xml:space="preserve">2025 Option Exercises and Stock Vested </w:t>
      </w:r>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2645"/>
        <w:gridCol w:w="240"/>
        <w:gridCol w:w="1295"/>
        <w:gridCol w:w="240"/>
        <w:gridCol w:w="1280"/>
      </w:tblGrid>
      <w:tr>
        <w:trPr/>
        <w:tc>
          <w:tcPr>
            <w:tcW w:w="26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pPr>
            <w:r>
              <w:rPr/>
              <w:t> </w:t>
            </w:r>
            <w:r>
              <w:rPr>
                <w:b/>
              </w:rPr>
              <w:t>Name</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r>
              <w:rPr>
                <w:b/>
              </w:rPr>
              <w:t>Number Of</w:t>
              <w:br/>
              <w:t>Shares</w:t>
              <w:br/>
              <w:t>Acquired on</w:t>
              <w:br/>
              <w:t>Vesting</w:t>
              <w:br/>
              <w:t>(#)</w:t>
            </w:r>
          </w:p>
        </w:tc>
        <w:tc>
          <w:tcPr>
            <w:tcW w:w="2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b/>
              </w:rPr>
            </w:pPr>
            <w:r>
              <w:rPr>
                <w:b/>
              </w:rPr>
              <w:t>Value</w:t>
              <w:br/>
              <w:t>Realized On</w:t>
              <w:br/>
              <w:t>Vesting</w:t>
              <w:br/>
              <w:t>($)(1)</w:t>
            </w:r>
          </w:p>
        </w:tc>
      </w:tr>
      <w:tr>
        <w:trPr/>
        <w:tc>
          <w:tcPr>
            <w:tcW w:w="264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4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45" w:type="dxa"/>
            <w:tcBorders/>
            <w:shd w:fill="D5EBF6" w:val="clear"/>
            <w:vAlign w:val="center"/>
          </w:tcPr>
          <w:p>
            <w:pPr>
              <w:pStyle w:val="TableContents"/>
              <w:bidi w:val="0"/>
              <w:spacing w:before="0" w:after="283"/>
              <w:jc w:val="left"/>
              <w:rPr>
                <w:sz w:val="4"/>
                <w:szCs w:val="4"/>
              </w:rPr>
            </w:pPr>
            <w:r>
              <w:rPr>
                <w:sz w:val="4"/>
                <w:szCs w:val="4"/>
              </w:rPr>
            </w:r>
          </w:p>
        </w:tc>
        <w:tc>
          <w:tcPr>
            <w:tcW w:w="1535" w:type="dxa"/>
            <w:gridSpan w:val="2"/>
            <w:tcBorders/>
            <w:shd w:fill="D5EBF6" w:val="clear"/>
            <w:vAlign w:val="center"/>
          </w:tcPr>
          <w:p>
            <w:pPr>
              <w:pStyle w:val="TableContents"/>
              <w:bidi w:val="0"/>
              <w:spacing w:before="0" w:after="283"/>
              <w:jc w:val="left"/>
              <w:rPr>
                <w:sz w:val="4"/>
                <w:szCs w:val="4"/>
              </w:rPr>
            </w:pPr>
            <w:r>
              <w:rPr>
                <w:sz w:val="4"/>
                <w:szCs w:val="4"/>
              </w:rPr>
            </w:r>
          </w:p>
        </w:tc>
        <w:tc>
          <w:tcPr>
            <w:tcW w:w="152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45" w:type="dxa"/>
            <w:tcBorders/>
            <w:shd w:fill="D5EBF6" w:val="clear"/>
            <w:vAlign w:val="center"/>
          </w:tcPr>
          <w:p>
            <w:pPr>
              <w:pStyle w:val="TableContents"/>
              <w:bidi w:val="0"/>
              <w:spacing w:lineRule="atLeast" w:line="260" w:before="0" w:after="0"/>
              <w:jc w:val="left"/>
              <w:rPr/>
            </w:pPr>
            <w:r>
              <w:rPr/>
              <w:t> </w:t>
            </w:r>
            <w:r>
              <w:rPr>
                <w:rFonts w:ascii="ARIAL" w:hAnsi="ARIAL"/>
                <w:sz w:val="22"/>
              </w:rPr>
              <w:t>Christopher H. Peterson</w:t>
            </w:r>
          </w:p>
        </w:tc>
        <w:tc>
          <w:tcPr>
            <w:tcW w:w="240" w:type="dxa"/>
            <w:tcBorders/>
            <w:shd w:fill="D5EBF6" w:val="clear"/>
            <w:vAlign w:val="center"/>
          </w:tcPr>
          <w:p>
            <w:pPr>
              <w:pStyle w:val="TableContents"/>
              <w:bidi w:val="0"/>
              <w:spacing w:before="0" w:after="283"/>
              <w:jc w:val="left"/>
              <w:rPr/>
            </w:pPr>
            <w:r>
              <w:rPr/>
              <w:t>    </w:t>
            </w:r>
          </w:p>
        </w:tc>
        <w:tc>
          <w:tcPr>
            <w:tcW w:w="1295" w:type="dxa"/>
            <w:tcBorders/>
            <w:shd w:fill="D5EBF6" w:val="clear"/>
            <w:vAlign w:val="center"/>
          </w:tcPr>
          <w:p>
            <w:pPr>
              <w:pStyle w:val="TableContents"/>
              <w:bidi w:val="0"/>
              <w:spacing w:lineRule="atLeast" w:line="260" w:before="0" w:after="0"/>
              <w:jc w:val="center"/>
              <w:rPr>
                <w:rFonts w:ascii="ARIAL" w:hAnsi="ARIAL"/>
                <w:sz w:val="22"/>
              </w:rPr>
            </w:pPr>
            <w:r>
              <w:rPr>
                <w:rFonts w:ascii="ARIAL" w:hAnsi="ARIAL"/>
                <w:sz w:val="22"/>
              </w:rPr>
              <w:t>305,915</w:t>
            </w:r>
          </w:p>
        </w:tc>
        <w:tc>
          <w:tcPr>
            <w:tcW w:w="240" w:type="dxa"/>
            <w:tcBorders/>
            <w:shd w:fill="D5EBF6" w:val="clear"/>
            <w:vAlign w:val="center"/>
          </w:tcPr>
          <w:p>
            <w:pPr>
              <w:pStyle w:val="TableContents"/>
              <w:bidi w:val="0"/>
              <w:spacing w:before="0" w:after="283"/>
              <w:jc w:val="left"/>
              <w:rPr/>
            </w:pPr>
            <w:r>
              <w:rPr/>
              <w:t>    </w:t>
            </w:r>
          </w:p>
        </w:tc>
        <w:tc>
          <w:tcPr>
            <w:tcW w:w="1280" w:type="dxa"/>
            <w:tcBorders/>
            <w:shd w:fill="D5EBF6" w:val="clear"/>
            <w:vAlign w:val="center"/>
          </w:tcPr>
          <w:p>
            <w:pPr>
              <w:pStyle w:val="TableContents"/>
              <w:bidi w:val="0"/>
              <w:spacing w:lineRule="atLeast" w:line="260" w:before="0" w:after="0"/>
              <w:jc w:val="center"/>
              <w:rPr>
                <w:rFonts w:ascii="ARIAL" w:hAnsi="ARIAL"/>
                <w:sz w:val="22"/>
              </w:rPr>
            </w:pPr>
            <w:r>
              <w:rPr>
                <w:rFonts w:ascii="ARIAL" w:hAnsi="ARIAL"/>
                <w:sz w:val="22"/>
              </w:rPr>
              <w:t>2,224,117  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520"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lineRule="atLeast" w:line="260" w:before="0" w:after="0"/>
              <w:jc w:val="left"/>
              <w:rPr/>
            </w:pPr>
            <w:r>
              <w:rPr/>
              <w:t> </w:t>
            </w:r>
            <w:r>
              <w:rPr>
                <w:rFonts w:ascii="ARIAL" w:hAnsi="ARIAL"/>
                <w:sz w:val="22"/>
              </w:rPr>
              <w:t>Mark J. Erceg</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lineRule="atLeast" w:line="260" w:before="0" w:after="0"/>
              <w:jc w:val="center"/>
              <w:rPr>
                <w:rFonts w:ascii="ARIAL" w:hAnsi="ARIAL"/>
                <w:sz w:val="22"/>
              </w:rPr>
            </w:pPr>
            <w:r>
              <w:rPr>
                <w:rFonts w:ascii="ARIAL" w:hAnsi="ARIAL"/>
                <w:sz w:val="22"/>
              </w:rPr>
              <w:t>118,494</w:t>
            </w:r>
          </w:p>
        </w:tc>
        <w:tc>
          <w:tcPr>
            <w:tcW w:w="2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lineRule="atLeast" w:line="260" w:before="0" w:after="0"/>
              <w:jc w:val="center"/>
              <w:rPr>
                <w:rFonts w:ascii="ARIAL" w:hAnsi="ARIAL"/>
                <w:sz w:val="22"/>
              </w:rPr>
            </w:pPr>
            <w:r>
              <w:rPr>
                <w:rFonts w:ascii="ARIAL" w:hAnsi="ARIAL"/>
                <w:sz w:val="22"/>
              </w:rPr>
              <w:t>886,871  </w:t>
            </w:r>
          </w:p>
        </w:tc>
      </w:tr>
      <w:tr>
        <w:trPr/>
        <w:tc>
          <w:tcPr>
            <w:tcW w:w="2645" w:type="dxa"/>
            <w:tcBorders/>
            <w:shd w:fill="D5EBF6" w:val="clear"/>
            <w:vAlign w:val="center"/>
          </w:tcPr>
          <w:p>
            <w:pPr>
              <w:pStyle w:val="TableContents"/>
              <w:bidi w:val="0"/>
              <w:spacing w:before="0" w:after="283"/>
              <w:jc w:val="left"/>
              <w:rPr>
                <w:sz w:val="4"/>
                <w:szCs w:val="4"/>
              </w:rPr>
            </w:pPr>
            <w:r>
              <w:rPr>
                <w:sz w:val="4"/>
                <w:szCs w:val="4"/>
              </w:rPr>
            </w:r>
          </w:p>
        </w:tc>
        <w:tc>
          <w:tcPr>
            <w:tcW w:w="1535" w:type="dxa"/>
            <w:gridSpan w:val="2"/>
            <w:tcBorders/>
            <w:shd w:fill="D5EBF6" w:val="clear"/>
            <w:vAlign w:val="center"/>
          </w:tcPr>
          <w:p>
            <w:pPr>
              <w:pStyle w:val="TableContents"/>
              <w:bidi w:val="0"/>
              <w:spacing w:before="0" w:after="283"/>
              <w:jc w:val="left"/>
              <w:rPr>
                <w:sz w:val="4"/>
                <w:szCs w:val="4"/>
              </w:rPr>
            </w:pPr>
            <w:r>
              <w:rPr>
                <w:sz w:val="4"/>
                <w:szCs w:val="4"/>
              </w:rPr>
            </w:r>
          </w:p>
        </w:tc>
        <w:tc>
          <w:tcPr>
            <w:tcW w:w="152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45" w:type="dxa"/>
            <w:tcBorders/>
            <w:shd w:fill="D5EBF6" w:val="clear"/>
            <w:vAlign w:val="center"/>
          </w:tcPr>
          <w:p>
            <w:pPr>
              <w:pStyle w:val="TableContents"/>
              <w:bidi w:val="0"/>
              <w:spacing w:lineRule="atLeast" w:line="260" w:before="0" w:after="0"/>
              <w:jc w:val="left"/>
              <w:rPr/>
            </w:pPr>
            <w:r>
              <w:rPr/>
              <w:t> </w:t>
            </w:r>
            <w:r>
              <w:rPr>
                <w:rFonts w:ascii="ARIAL" w:hAnsi="ARIAL"/>
                <w:sz w:val="22"/>
              </w:rPr>
              <w:t>Bradford R. Turner</w:t>
            </w:r>
          </w:p>
        </w:tc>
        <w:tc>
          <w:tcPr>
            <w:tcW w:w="240" w:type="dxa"/>
            <w:tcBorders/>
            <w:shd w:fill="D5EBF6" w:val="clear"/>
            <w:vAlign w:val="center"/>
          </w:tcPr>
          <w:p>
            <w:pPr>
              <w:pStyle w:val="TableContents"/>
              <w:bidi w:val="0"/>
              <w:spacing w:before="0" w:after="283"/>
              <w:jc w:val="left"/>
              <w:rPr/>
            </w:pPr>
            <w:r>
              <w:rPr/>
              <w:t>    </w:t>
            </w:r>
          </w:p>
        </w:tc>
        <w:tc>
          <w:tcPr>
            <w:tcW w:w="1295" w:type="dxa"/>
            <w:tcBorders/>
            <w:shd w:fill="D5EBF6" w:val="clear"/>
            <w:vAlign w:val="center"/>
          </w:tcPr>
          <w:p>
            <w:pPr>
              <w:pStyle w:val="TableContents"/>
              <w:bidi w:val="0"/>
              <w:spacing w:lineRule="atLeast" w:line="260" w:before="0" w:after="0"/>
              <w:jc w:val="center"/>
              <w:rPr>
                <w:rFonts w:ascii="ARIAL" w:hAnsi="ARIAL"/>
                <w:sz w:val="22"/>
              </w:rPr>
            </w:pPr>
            <w:r>
              <w:rPr>
                <w:rFonts w:ascii="ARIAL" w:hAnsi="ARIAL"/>
                <w:sz w:val="22"/>
              </w:rPr>
              <w:t>368,042</w:t>
            </w:r>
          </w:p>
        </w:tc>
        <w:tc>
          <w:tcPr>
            <w:tcW w:w="240" w:type="dxa"/>
            <w:tcBorders/>
            <w:shd w:fill="D5EBF6" w:val="clear"/>
            <w:vAlign w:val="center"/>
          </w:tcPr>
          <w:p>
            <w:pPr>
              <w:pStyle w:val="TableContents"/>
              <w:bidi w:val="0"/>
              <w:spacing w:before="0" w:after="283"/>
              <w:jc w:val="left"/>
              <w:rPr/>
            </w:pPr>
            <w:r>
              <w:rPr/>
              <w:t>    </w:t>
            </w:r>
          </w:p>
        </w:tc>
        <w:tc>
          <w:tcPr>
            <w:tcW w:w="1280" w:type="dxa"/>
            <w:tcBorders/>
            <w:shd w:fill="D5EBF6" w:val="clear"/>
            <w:vAlign w:val="center"/>
          </w:tcPr>
          <w:p>
            <w:pPr>
              <w:pStyle w:val="TableContents"/>
              <w:bidi w:val="0"/>
              <w:spacing w:lineRule="atLeast" w:line="260" w:before="0" w:after="0"/>
              <w:jc w:val="center"/>
              <w:rPr>
                <w:rFonts w:ascii="ARIAL" w:hAnsi="ARIAL"/>
                <w:sz w:val="22"/>
              </w:rPr>
            </w:pPr>
            <w:r>
              <w:rPr>
                <w:rFonts w:ascii="ARIAL" w:hAnsi="ARIAL"/>
                <w:sz w:val="22"/>
              </w:rPr>
              <w:t>2,453,388  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520"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lineRule="atLeast" w:line="260" w:before="0" w:after="0"/>
              <w:jc w:val="left"/>
              <w:rPr/>
            </w:pPr>
            <w:r>
              <w:rPr/>
              <w:t> </w:t>
            </w:r>
            <w:r>
              <w:rPr>
                <w:rFonts w:ascii="ARIAL" w:hAnsi="ARIAL"/>
                <w:sz w:val="22"/>
              </w:rPr>
              <w:t>Tracy L. Platt</w:t>
            </w:r>
          </w:p>
        </w:tc>
        <w:tc>
          <w:tcPr>
            <w:tcW w:w="2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lineRule="atLeast" w:line="260" w:before="0" w:after="0"/>
              <w:jc w:val="center"/>
              <w:rPr>
                <w:rFonts w:ascii="ARIAL" w:hAnsi="ARIAL"/>
                <w:sz w:val="22"/>
              </w:rPr>
            </w:pPr>
            <w:r>
              <w:rPr>
                <w:rFonts w:ascii="ARIAL" w:hAnsi="ARIAL"/>
                <w:sz w:val="22"/>
              </w:rPr>
              <w:t>69,017</w:t>
            </w:r>
          </w:p>
        </w:tc>
        <w:tc>
          <w:tcPr>
            <w:tcW w:w="2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lineRule="atLeast" w:line="260" w:before="0" w:after="0"/>
              <w:jc w:val="center"/>
              <w:rPr>
                <w:rFonts w:ascii="ARIAL" w:hAnsi="ARIAL"/>
                <w:sz w:val="22"/>
              </w:rPr>
            </w:pPr>
            <w:r>
              <w:rPr>
                <w:rFonts w:ascii="ARIAL" w:hAnsi="ARIAL"/>
                <w:sz w:val="22"/>
              </w:rPr>
              <w:t>403,596  </w:t>
            </w:r>
          </w:p>
        </w:tc>
      </w:tr>
      <w:tr>
        <w:trPr/>
        <w:tc>
          <w:tcPr>
            <w:tcW w:w="2645" w:type="dxa"/>
            <w:tcBorders/>
            <w:shd w:fill="D5EBF6" w:val="clear"/>
            <w:vAlign w:val="center"/>
          </w:tcPr>
          <w:p>
            <w:pPr>
              <w:pStyle w:val="TableContents"/>
              <w:bidi w:val="0"/>
              <w:spacing w:before="0" w:after="283"/>
              <w:jc w:val="left"/>
              <w:rPr>
                <w:sz w:val="4"/>
                <w:szCs w:val="4"/>
              </w:rPr>
            </w:pPr>
            <w:r>
              <w:rPr>
                <w:sz w:val="4"/>
                <w:szCs w:val="4"/>
              </w:rPr>
            </w:r>
          </w:p>
        </w:tc>
        <w:tc>
          <w:tcPr>
            <w:tcW w:w="1535" w:type="dxa"/>
            <w:gridSpan w:val="2"/>
            <w:tcBorders/>
            <w:shd w:fill="D5EBF6" w:val="clear"/>
            <w:vAlign w:val="center"/>
          </w:tcPr>
          <w:p>
            <w:pPr>
              <w:pStyle w:val="TableContents"/>
              <w:bidi w:val="0"/>
              <w:spacing w:before="0" w:after="283"/>
              <w:jc w:val="left"/>
              <w:rPr>
                <w:sz w:val="4"/>
                <w:szCs w:val="4"/>
              </w:rPr>
            </w:pPr>
            <w:r>
              <w:rPr>
                <w:sz w:val="4"/>
                <w:szCs w:val="4"/>
              </w:rPr>
            </w:r>
          </w:p>
        </w:tc>
        <w:tc>
          <w:tcPr>
            <w:tcW w:w="1520"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2645" w:type="dxa"/>
            <w:tcBorders/>
            <w:shd w:fill="D5EBF6" w:val="clear"/>
            <w:vAlign w:val="center"/>
          </w:tcPr>
          <w:p>
            <w:pPr>
              <w:pStyle w:val="TableContents"/>
              <w:bidi w:val="0"/>
              <w:spacing w:lineRule="atLeast" w:line="260" w:before="0" w:after="0"/>
              <w:jc w:val="left"/>
              <w:rPr/>
            </w:pPr>
            <w:r>
              <w:rPr/>
              <w:t> </w:t>
            </w:r>
            <w:r>
              <w:rPr>
                <w:rFonts w:ascii="ARIAL" w:hAnsi="ARIAL"/>
                <w:sz w:val="22"/>
              </w:rPr>
              <w:t>Kristine K. Malkoski</w:t>
            </w:r>
          </w:p>
        </w:tc>
        <w:tc>
          <w:tcPr>
            <w:tcW w:w="240" w:type="dxa"/>
            <w:tcBorders/>
            <w:shd w:fill="D5EBF6" w:val="clear"/>
            <w:vAlign w:val="center"/>
          </w:tcPr>
          <w:p>
            <w:pPr>
              <w:pStyle w:val="TableContents"/>
              <w:bidi w:val="0"/>
              <w:spacing w:before="0" w:after="283"/>
              <w:jc w:val="left"/>
              <w:rPr/>
            </w:pPr>
            <w:r>
              <w:rPr/>
              <w:t>    </w:t>
            </w:r>
          </w:p>
        </w:tc>
        <w:tc>
          <w:tcPr>
            <w:tcW w:w="1295" w:type="dxa"/>
            <w:tcBorders/>
            <w:shd w:fill="D5EBF6" w:val="clear"/>
            <w:vAlign w:val="center"/>
          </w:tcPr>
          <w:p>
            <w:pPr>
              <w:pStyle w:val="TableContents"/>
              <w:bidi w:val="0"/>
              <w:spacing w:lineRule="atLeast" w:line="260" w:before="0" w:after="0"/>
              <w:jc w:val="center"/>
              <w:rPr>
                <w:rFonts w:ascii="ARIAL" w:hAnsi="ARIAL"/>
                <w:sz w:val="22"/>
              </w:rPr>
            </w:pPr>
            <w:r>
              <w:rPr>
                <w:rFonts w:ascii="ARIAL" w:hAnsi="ARIAL"/>
                <w:sz w:val="22"/>
              </w:rPr>
              <w:t>231,521</w:t>
            </w:r>
          </w:p>
        </w:tc>
        <w:tc>
          <w:tcPr>
            <w:tcW w:w="240" w:type="dxa"/>
            <w:tcBorders/>
            <w:shd w:fill="D5EBF6" w:val="clear"/>
            <w:vAlign w:val="center"/>
          </w:tcPr>
          <w:p>
            <w:pPr>
              <w:pStyle w:val="TableContents"/>
              <w:bidi w:val="0"/>
              <w:spacing w:before="0" w:after="283"/>
              <w:jc w:val="left"/>
              <w:rPr/>
            </w:pPr>
            <w:r>
              <w:rPr/>
              <w:t>    </w:t>
            </w:r>
          </w:p>
        </w:tc>
        <w:tc>
          <w:tcPr>
            <w:tcW w:w="1280" w:type="dxa"/>
            <w:tcBorders/>
            <w:shd w:fill="D5EBF6" w:val="clear"/>
            <w:vAlign w:val="center"/>
          </w:tcPr>
          <w:p>
            <w:pPr>
              <w:pStyle w:val="TableContents"/>
              <w:bidi w:val="0"/>
              <w:spacing w:lineRule="atLeast" w:line="260" w:before="0" w:after="0"/>
              <w:jc w:val="center"/>
              <w:rPr>
                <w:rFonts w:ascii="ARIAL" w:hAnsi="ARIAL"/>
                <w:sz w:val="22"/>
              </w:rPr>
            </w:pPr>
            <w:r>
              <w:rPr>
                <w:rFonts w:ascii="ARIAL" w:hAnsi="ARIAL"/>
                <w:sz w:val="22"/>
              </w:rPr>
              <w:t>1,550,214  </w:t>
            </w:r>
          </w:p>
        </w:tc>
      </w:tr>
      <w:tr>
        <w:trPr/>
        <w:tc>
          <w:tcPr>
            <w:tcW w:w="264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4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both"/>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both"/>
              <w:rPr>
                <w:rFonts w:ascii="ARIAL" w:hAnsi="ARIAL"/>
                <w:sz w:val="18"/>
              </w:rPr>
            </w:pPr>
            <w:r>
              <w:rPr>
                <w:rFonts w:ascii="ARIAL" w:hAnsi="ARIAL"/>
                <w:i/>
                <w:sz w:val="18"/>
                <w:u w:val="single"/>
              </w:rPr>
              <w:t>Value Realized on Vesting</w:t>
            </w:r>
            <w:r>
              <w:rPr>
                <w:rFonts w:ascii="ARIAL" w:hAnsi="ARIAL"/>
                <w:sz w:val="18"/>
                <w:u w:val="single"/>
              </w:rPr>
              <w:t>.</w:t>
            </w:r>
            <w:r>
              <w:rPr>
                <w:rFonts w:ascii="ARIAL" w:hAnsi="ARIAL"/>
                <w:sz w:val="18"/>
              </w:rPr>
              <w:t xml:space="preserve"> Represents the value of shares issued in respect of vested RSUs using the closing market price of the Company’s common stock on the relevant vesting date and includes the following cash payments for dividend equivalents paid with respect to RSUs: Mr. Peterson, $162,975; Mr. Erceg, $50,896; Mr. Turner, $213,801; Ms. Platt, $28,641; and Ms. Malkoski, $131,286. There were no option exercises by the named executive officers in 2025. </w:t>
            </w:r>
          </w:p>
        </w:tc>
      </w:tr>
    </w:tbl>
    <w:p>
      <w:pPr>
        <w:pStyle w:val="TextBody"/>
        <w:bidi w:val="0"/>
        <w:spacing w:before="480" w:after="0"/>
        <w:jc w:val="center"/>
        <w:rPr>
          <w:rFonts w:ascii="ARIAL" w:hAnsi="ARIAL"/>
          <w:b/>
          <w:sz w:val="22"/>
          <w:u w:val="single"/>
        </w:rPr>
      </w:pPr>
      <w:r>
        <w:rPr>
          <w:rFonts w:ascii="ARIAL" w:hAnsi="ARIAL"/>
          <w:b/>
          <w:sz w:val="22"/>
          <w:u w:val="single"/>
        </w:rPr>
        <w:t xml:space="preserve">2025 Nonqualified Deferred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06"/>
        <w:gridCol w:w="60"/>
        <w:gridCol w:w="60"/>
        <w:gridCol w:w="1355"/>
        <w:gridCol w:w="60"/>
        <w:gridCol w:w="60"/>
        <w:gridCol w:w="130"/>
        <w:gridCol w:w="1315"/>
        <w:gridCol w:w="60"/>
        <w:gridCol w:w="60"/>
        <w:gridCol w:w="130"/>
        <w:gridCol w:w="1315"/>
        <w:gridCol w:w="60"/>
        <w:gridCol w:w="60"/>
        <w:gridCol w:w="100"/>
        <w:gridCol w:w="1015"/>
        <w:gridCol w:w="60"/>
        <w:gridCol w:w="60"/>
        <w:gridCol w:w="132"/>
        <w:gridCol w:w="1268"/>
        <w:gridCol w:w="60"/>
        <w:gridCol w:w="60"/>
        <w:gridCol w:w="92"/>
        <w:gridCol w:w="1150"/>
        <w:gridCol w:w="77"/>
      </w:tblGrid>
      <w:tr>
        <w:trPr/>
        <w:tc>
          <w:tcPr>
            <w:tcW w:w="14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406" w:type="dxa"/>
            <w:tcBorders/>
            <w:vAlign w:val="center"/>
          </w:tcPr>
          <w:p>
            <w:pPr>
              <w:pStyle w:val="TableContents"/>
              <w:bidi w:val="0"/>
              <w:spacing w:before="0" w:after="283"/>
              <w:jc w:val="left"/>
              <w:rPr/>
            </w:pPr>
            <w:r>
              <w:rPr/>
              <w:t> </w:t>
            </w:r>
            <w:r>
              <w:rPr>
                <w:b/>
              </w:rPr>
              <w:t>Name</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Name of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Executive</w:t>
              <w:br/>
              <w:t>Contributions</w:t>
              <w:br/>
              <w:t>in Last FY</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Company</w:t>
              <w:br/>
              <w:t>Contributions</w:t>
              <w:br/>
              <w:t>in Last FY</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Aggregate</w:t>
              <w:br/>
              <w:t>Earnings</w:t>
              <w:br/>
              <w:t>(Loss)</w:t>
              <w:br/>
              <w:t>in Last FY</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Aggregate</w:t>
              <w:br/>
              <w:t>Withdrawals/</w:t>
              <w:br/>
              <w:t>Distributions</w:t>
              <w:b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vAlign w:val="center"/>
          </w:tcPr>
          <w:p>
            <w:pPr>
              <w:pStyle w:val="TableContents"/>
              <w:bidi w:val="0"/>
              <w:spacing w:before="0" w:after="283"/>
              <w:jc w:val="center"/>
              <w:rPr/>
            </w:pPr>
            <w:r>
              <w:rPr/>
              <w:t> </w:t>
            </w:r>
            <w:r>
              <w:rPr>
                <w:b/>
              </w:rPr>
              <w:t>Aggregate </w:t>
              <w:br/>
              <w:t>Balance at</w:t>
              <w:br/>
              <w:t>Last FYE</w:t>
              <w:br/>
              <w:t>($)(5)(6)</w:t>
            </w:r>
          </w:p>
        </w:tc>
        <w:tc>
          <w:tcPr>
            <w:tcW w:w="77" w:type="dxa"/>
            <w:tcBorders/>
            <w:vAlign w:val="center"/>
          </w:tcPr>
          <w:p>
            <w:pPr>
              <w:pStyle w:val="TableContents"/>
              <w:bidi w:val="0"/>
              <w:spacing w:before="0" w:after="283"/>
              <w:jc w:val="left"/>
              <w:rPr/>
            </w:pPr>
            <w:r>
              <w:rPr/>
              <w:t> </w:t>
            </w:r>
          </w:p>
        </w:tc>
      </w:tr>
      <w:tr>
        <w:trPr/>
        <w:tc>
          <w:tcPr>
            <w:tcW w:w="1406"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 w:type="dxa"/>
            <w:tcBorders>
              <w:bottom w:val="single" w:sz="6" w:space="0" w:color="000000"/>
            </w:tcBorders>
            <w:tcMar>
              <w:bottom w:w="28" w:type="dxa"/>
            </w:tcMar>
            <w:vAlign w:val="center"/>
          </w:tcPr>
          <w:p>
            <w:pPr>
              <w:pStyle w:val="TableContents"/>
              <w:bidi w:val="0"/>
              <w:spacing w:before="0" w:after="283"/>
              <w:jc w:val="left"/>
              <w:rPr/>
            </w:pPr>
            <w:r>
              <w:rPr/>
              <w:t> </w:t>
            </w:r>
          </w:p>
        </w:tc>
        <w:tc>
          <w:tcPr>
            <w:tcW w:w="126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150" w:type="dxa"/>
            <w:tcBorders>
              <w:bottom w:val="single" w:sz="6" w:space="0" w:color="000000"/>
            </w:tcBorders>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06"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01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righ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 w:type="dxa"/>
            <w:tcBorders>
              <w:bottom w:val="single" w:sz="6" w:space="0" w:color="000000"/>
            </w:tcBorders>
            <w:tcMar>
              <w:bottom w:w="28" w:type="dxa"/>
            </w:tcMar>
            <w:vAlign w:val="center"/>
          </w:tcPr>
          <w:p>
            <w:pPr>
              <w:pStyle w:val="TableContents"/>
              <w:bidi w:val="0"/>
              <w:spacing w:before="0" w:after="283"/>
              <w:jc w:val="left"/>
              <w:rPr/>
            </w:pPr>
            <w:r>
              <w:rPr/>
              <w:t> </w:t>
            </w:r>
          </w:p>
        </w:tc>
        <w:tc>
          <w:tcPr>
            <w:tcW w:w="126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150" w:type="dxa"/>
            <w:tcBorders>
              <w:bottom w:val="single" w:sz="6" w:space="0" w:color="000000"/>
            </w:tcBorders>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06" w:type="dxa"/>
            <w:tcBorders/>
            <w:shd w:fill="D5EBF6" w:val="clear"/>
            <w:vAlign w:val="center"/>
          </w:tcPr>
          <w:p>
            <w:pPr>
              <w:pStyle w:val="TableContents"/>
              <w:bidi w:val="0"/>
              <w:spacing w:lineRule="atLeast" w:line="300" w:before="0" w:after="0"/>
              <w:jc w:val="left"/>
              <w:rPr/>
            </w:pPr>
            <w:r>
              <w:rPr/>
              <w:t> </w:t>
            </w:r>
            <w:r>
              <w:rPr>
                <w:rFonts w:ascii="ARIAL" w:hAnsi="ARIAL"/>
                <w:sz w:val="16"/>
              </w:rPr>
              <w:t>Christopher H. Peterson</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135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Supplemental ESP</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0" w:type="dxa"/>
            <w:tcBorders/>
            <w:shd w:fill="D5EBF6" w:val="clear"/>
            <w:vAlign w:val="center"/>
          </w:tcPr>
          <w:p>
            <w:pPr>
              <w:pStyle w:val="TableContents"/>
              <w:bidi w:val="0"/>
              <w:spacing w:lineRule="atLeast" w:line="300" w:before="0" w:after="0"/>
              <w:jc w:val="left"/>
              <w:rPr/>
            </w:pPr>
            <w:r>
              <w:rPr/>
              <w:t> </w:t>
            </w:r>
          </w:p>
        </w:tc>
        <w:tc>
          <w:tcPr>
            <w:tcW w:w="131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268,333</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0" w:type="dxa"/>
            <w:tcBorders/>
            <w:shd w:fill="D5EBF6" w:val="clear"/>
            <w:vAlign w:val="center"/>
          </w:tcPr>
          <w:p>
            <w:pPr>
              <w:pStyle w:val="TableContents"/>
              <w:bidi w:val="0"/>
              <w:spacing w:lineRule="atLeast" w:line="300" w:before="0" w:after="0"/>
              <w:jc w:val="left"/>
              <w:rPr/>
            </w:pPr>
            <w:r>
              <w:rPr/>
              <w:t> </w:t>
            </w:r>
          </w:p>
        </w:tc>
        <w:tc>
          <w:tcPr>
            <w:tcW w:w="131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172,200</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0" w:type="dxa"/>
            <w:tcBorders/>
            <w:shd w:fill="D5EBF6" w:val="clear"/>
            <w:vAlign w:val="center"/>
          </w:tcPr>
          <w:p>
            <w:pPr>
              <w:pStyle w:val="TableContents"/>
              <w:bidi w:val="0"/>
              <w:spacing w:lineRule="atLeast" w:line="300" w:before="0" w:after="0"/>
              <w:jc w:val="left"/>
              <w:rPr/>
            </w:pPr>
            <w:r>
              <w:rPr/>
              <w:t> </w:t>
            </w:r>
          </w:p>
        </w:tc>
        <w:tc>
          <w:tcPr>
            <w:tcW w:w="101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462,594</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2" w:type="dxa"/>
            <w:tcBorders/>
            <w:shd w:fill="D5EBF6" w:val="clear"/>
            <w:vAlign w:val="center"/>
          </w:tcPr>
          <w:p>
            <w:pPr>
              <w:pStyle w:val="TableContents"/>
              <w:bidi w:val="0"/>
              <w:spacing w:lineRule="atLeast" w:line="300" w:before="0" w:after="0"/>
              <w:jc w:val="left"/>
              <w:rPr/>
            </w:pPr>
            <w:r>
              <w:rPr/>
              <w:t> </w:t>
            </w:r>
          </w:p>
        </w:tc>
        <w:tc>
          <w:tcPr>
            <w:tcW w:w="1268"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lineRule="atLeast" w:line="300" w:before="0" w:after="0"/>
              <w:jc w:val="left"/>
              <w:rPr/>
            </w:pPr>
            <w:r>
              <w:rPr/>
              <w:t> </w:t>
            </w:r>
          </w:p>
        </w:tc>
        <w:tc>
          <w:tcPr>
            <w:tcW w:w="1150"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3,532,811  </w:t>
            </w:r>
          </w:p>
        </w:tc>
        <w:tc>
          <w:tcPr>
            <w:tcW w:w="77" w:type="dxa"/>
            <w:tcBorders/>
            <w:shd w:fill="D5EBF6" w:val="clear"/>
            <w:vAlign w:val="center"/>
          </w:tcPr>
          <w:p>
            <w:pPr>
              <w:pStyle w:val="TableContents"/>
              <w:bidi w:val="0"/>
              <w:spacing w:lineRule="atLeast" w:line="300" w:before="0" w:after="0"/>
              <w:jc w:val="left"/>
              <w:rPr/>
            </w:pPr>
            <w:r>
              <w:rPr/>
              <w:t> </w:t>
            </w:r>
          </w:p>
        </w:tc>
      </w:tr>
      <w:tr>
        <w:trPr/>
        <w:tc>
          <w:tcPr>
            <w:tcW w:w="1406" w:type="dxa"/>
            <w:tcBorders/>
            <w:vAlign w:val="center"/>
          </w:tcPr>
          <w:p>
            <w:pPr>
              <w:pStyle w:val="TableContents"/>
              <w:bidi w:val="0"/>
              <w:spacing w:lineRule="atLeast" w:line="300" w:before="0" w:after="0"/>
              <w:jc w:val="left"/>
              <w:rPr/>
            </w:pPr>
            <w:r>
              <w:rPr/>
              <w:t> </w:t>
            </w:r>
            <w:r>
              <w:rPr>
                <w:rFonts w:ascii="ARIAL" w:hAnsi="ARIAL"/>
                <w:sz w:val="16"/>
              </w:rPr>
              <w:t>Mark J. Erceg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355" w:type="dxa"/>
            <w:tcBorders/>
            <w:vAlign w:val="center"/>
          </w:tcPr>
          <w:p>
            <w:pPr>
              <w:pStyle w:val="TableContents"/>
              <w:bidi w:val="0"/>
              <w:spacing w:lineRule="atLeast" w:line="300" w:before="0" w:after="0"/>
              <w:jc w:val="center"/>
              <w:rPr>
                <w:rFonts w:ascii="ARIAL" w:hAnsi="ARIAL"/>
                <w:sz w:val="16"/>
              </w:rPr>
            </w:pPr>
            <w:r>
              <w:rPr>
                <w:rFonts w:ascii="ARIAL" w:hAnsi="ARIAL"/>
                <w:sz w:val="16"/>
              </w:rPr>
              <w:t>Supplemental ESP</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lineRule="atLeast" w:line="300" w:before="0" w:after="0"/>
              <w:jc w:val="left"/>
              <w:rPr/>
            </w:pPr>
            <w:r>
              <w:rPr/>
              <w:t> </w:t>
            </w:r>
          </w:p>
        </w:tc>
        <w:tc>
          <w:tcPr>
            <w:tcW w:w="1315" w:type="dxa"/>
            <w:tcBorders/>
            <w:vAlign w:val="center"/>
          </w:tcPr>
          <w:p>
            <w:pPr>
              <w:pStyle w:val="TableContents"/>
              <w:bidi w:val="0"/>
              <w:spacing w:lineRule="atLeast" w:line="300" w:before="0" w:after="0"/>
              <w:jc w:val="center"/>
              <w:rPr>
                <w:rFonts w:ascii="ARIAL" w:hAnsi="ARIAL"/>
                <w:sz w:val="16"/>
              </w:rPr>
            </w:pPr>
            <w:r>
              <w:rPr>
                <w:rFonts w:ascii="ARIAL" w:hAnsi="ARIAL"/>
                <w:sz w:val="16"/>
              </w:rPr>
              <w:t>96,530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lineRule="atLeast" w:line="300" w:before="0" w:after="0"/>
              <w:jc w:val="left"/>
              <w:rPr/>
            </w:pPr>
            <w:r>
              <w:rPr/>
              <w:t> </w:t>
            </w:r>
          </w:p>
        </w:tc>
        <w:tc>
          <w:tcPr>
            <w:tcW w:w="1315" w:type="dxa"/>
            <w:tcBorders/>
            <w:vAlign w:val="center"/>
          </w:tcPr>
          <w:p>
            <w:pPr>
              <w:pStyle w:val="TableContents"/>
              <w:bidi w:val="0"/>
              <w:spacing w:lineRule="atLeast" w:line="300" w:before="0" w:after="0"/>
              <w:jc w:val="center"/>
              <w:rPr>
                <w:rFonts w:ascii="ARIAL" w:hAnsi="ARIAL"/>
                <w:sz w:val="16"/>
              </w:rPr>
            </w:pPr>
            <w:r>
              <w:rPr>
                <w:rFonts w:ascii="ARIAL" w:hAnsi="ARIAL"/>
                <w:sz w:val="16"/>
              </w:rPr>
              <w:t>75,530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300" w:before="0" w:after="0"/>
              <w:jc w:val="left"/>
              <w:rPr/>
            </w:pPr>
            <w:r>
              <w:rPr/>
              <w:t> </w:t>
            </w:r>
          </w:p>
        </w:tc>
        <w:tc>
          <w:tcPr>
            <w:tcW w:w="1015" w:type="dxa"/>
            <w:tcBorders/>
            <w:vAlign w:val="center"/>
          </w:tcPr>
          <w:p>
            <w:pPr>
              <w:pStyle w:val="TableContents"/>
              <w:bidi w:val="0"/>
              <w:spacing w:lineRule="atLeast" w:line="300" w:before="0" w:after="0"/>
              <w:jc w:val="center"/>
              <w:rPr>
                <w:rFonts w:ascii="ARIAL" w:hAnsi="ARIAL"/>
                <w:sz w:val="16"/>
              </w:rPr>
            </w:pPr>
            <w:r>
              <w:rPr>
                <w:rFonts w:ascii="ARIAL" w:hAnsi="ARIAL"/>
                <w:sz w:val="16"/>
              </w:rPr>
              <w:t>88,530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tLeast" w:line="300" w:before="0" w:after="0"/>
              <w:jc w:val="left"/>
              <w:rPr/>
            </w:pPr>
            <w:r>
              <w:rPr/>
              <w:t> </w:t>
            </w:r>
          </w:p>
        </w:tc>
        <w:tc>
          <w:tcPr>
            <w:tcW w:w="1268" w:type="dxa"/>
            <w:tcBorders/>
            <w:vAlign w:val="center"/>
          </w:tcPr>
          <w:p>
            <w:pPr>
              <w:pStyle w:val="TableContents"/>
              <w:bidi w:val="0"/>
              <w:spacing w:lineRule="atLeast" w:line="30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300" w:before="0" w:after="0"/>
              <w:jc w:val="left"/>
              <w:rPr/>
            </w:pPr>
            <w:r>
              <w:rPr/>
              <w:t> </w:t>
            </w:r>
          </w:p>
        </w:tc>
        <w:tc>
          <w:tcPr>
            <w:tcW w:w="1150" w:type="dxa"/>
            <w:tcBorders/>
            <w:vAlign w:val="center"/>
          </w:tcPr>
          <w:p>
            <w:pPr>
              <w:pStyle w:val="TableContents"/>
              <w:bidi w:val="0"/>
              <w:spacing w:lineRule="atLeast" w:line="300" w:before="0" w:after="0"/>
              <w:jc w:val="center"/>
              <w:rPr>
                <w:rFonts w:ascii="ARIAL" w:hAnsi="ARIAL"/>
                <w:sz w:val="16"/>
              </w:rPr>
            </w:pPr>
            <w:r>
              <w:rPr>
                <w:rFonts w:ascii="ARIAL" w:hAnsi="ARIAL"/>
                <w:sz w:val="16"/>
              </w:rPr>
              <w:t>723,421  </w:t>
            </w:r>
          </w:p>
        </w:tc>
        <w:tc>
          <w:tcPr>
            <w:tcW w:w="77" w:type="dxa"/>
            <w:tcBorders/>
            <w:vAlign w:val="center"/>
          </w:tcPr>
          <w:p>
            <w:pPr>
              <w:pStyle w:val="TableContents"/>
              <w:bidi w:val="0"/>
              <w:spacing w:lineRule="atLeast" w:line="300" w:before="0" w:after="0"/>
              <w:jc w:val="left"/>
              <w:rPr/>
            </w:pPr>
            <w:r>
              <w:rPr/>
              <w:t> </w:t>
            </w:r>
          </w:p>
        </w:tc>
      </w:tr>
      <w:tr>
        <w:trPr/>
        <w:tc>
          <w:tcPr>
            <w:tcW w:w="1406" w:type="dxa"/>
            <w:tcBorders/>
            <w:shd w:fill="D5EBF6" w:val="clear"/>
            <w:vAlign w:val="center"/>
          </w:tcPr>
          <w:p>
            <w:pPr>
              <w:pStyle w:val="TableContents"/>
              <w:bidi w:val="0"/>
              <w:spacing w:lineRule="atLeast" w:line="300" w:before="0" w:after="0"/>
              <w:jc w:val="left"/>
              <w:rPr/>
            </w:pPr>
            <w:r>
              <w:rPr/>
              <w:t> </w:t>
            </w:r>
            <w:r>
              <w:rPr>
                <w:rFonts w:ascii="ARIAL" w:hAnsi="ARIAL"/>
                <w:sz w:val="16"/>
              </w:rPr>
              <w:t>Bradford R. Turner</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135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2008 Plan</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0" w:type="dxa"/>
            <w:tcBorders/>
            <w:shd w:fill="D5EBF6" w:val="clear"/>
            <w:vAlign w:val="center"/>
          </w:tcPr>
          <w:p>
            <w:pPr>
              <w:pStyle w:val="TableContents"/>
              <w:bidi w:val="0"/>
              <w:spacing w:lineRule="atLeast" w:line="300" w:before="0" w:after="0"/>
              <w:jc w:val="left"/>
              <w:rPr/>
            </w:pPr>
            <w:r>
              <w:rPr/>
              <w:t> </w:t>
            </w:r>
          </w:p>
        </w:tc>
        <w:tc>
          <w:tcPr>
            <w:tcW w:w="131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0" w:type="dxa"/>
            <w:tcBorders/>
            <w:shd w:fill="D5EBF6" w:val="clear"/>
            <w:vAlign w:val="center"/>
          </w:tcPr>
          <w:p>
            <w:pPr>
              <w:pStyle w:val="TableContents"/>
              <w:bidi w:val="0"/>
              <w:spacing w:lineRule="atLeast" w:line="300" w:before="0" w:after="0"/>
              <w:jc w:val="left"/>
              <w:rPr/>
            </w:pPr>
            <w:r>
              <w:rPr/>
              <w:t> </w:t>
            </w:r>
          </w:p>
        </w:tc>
        <w:tc>
          <w:tcPr>
            <w:tcW w:w="131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0" w:type="dxa"/>
            <w:tcBorders/>
            <w:shd w:fill="D5EBF6" w:val="clear"/>
            <w:vAlign w:val="center"/>
          </w:tcPr>
          <w:p>
            <w:pPr>
              <w:pStyle w:val="TableContents"/>
              <w:bidi w:val="0"/>
              <w:spacing w:lineRule="atLeast" w:line="300" w:before="0" w:after="0"/>
              <w:jc w:val="left"/>
              <w:rPr/>
            </w:pPr>
            <w:r>
              <w:rPr/>
              <w:t> </w:t>
            </w:r>
          </w:p>
        </w:tc>
        <w:tc>
          <w:tcPr>
            <w:tcW w:w="101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41,171</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2" w:type="dxa"/>
            <w:tcBorders/>
            <w:shd w:fill="D5EBF6" w:val="clear"/>
            <w:vAlign w:val="center"/>
          </w:tcPr>
          <w:p>
            <w:pPr>
              <w:pStyle w:val="TableContents"/>
              <w:bidi w:val="0"/>
              <w:spacing w:lineRule="atLeast" w:line="300" w:before="0" w:after="0"/>
              <w:jc w:val="left"/>
              <w:rPr/>
            </w:pPr>
            <w:r>
              <w:rPr/>
              <w:t> </w:t>
            </w:r>
          </w:p>
        </w:tc>
        <w:tc>
          <w:tcPr>
            <w:tcW w:w="1268"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lineRule="atLeast" w:line="300" w:before="0" w:after="0"/>
              <w:jc w:val="left"/>
              <w:rPr/>
            </w:pPr>
            <w:r>
              <w:rPr/>
              <w:t> </w:t>
            </w:r>
          </w:p>
        </w:tc>
        <w:tc>
          <w:tcPr>
            <w:tcW w:w="1150"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387,038  </w:t>
            </w:r>
          </w:p>
        </w:tc>
        <w:tc>
          <w:tcPr>
            <w:tcW w:w="77" w:type="dxa"/>
            <w:tcBorders/>
            <w:shd w:fill="D5EBF6" w:val="clear"/>
            <w:vAlign w:val="center"/>
          </w:tcPr>
          <w:p>
            <w:pPr>
              <w:pStyle w:val="TableContents"/>
              <w:bidi w:val="0"/>
              <w:spacing w:lineRule="atLeast" w:line="300" w:before="0" w:after="0"/>
              <w:jc w:val="left"/>
              <w:rPr/>
            </w:pPr>
            <w:r>
              <w:rPr/>
              <w:t> </w:t>
            </w:r>
          </w:p>
        </w:tc>
      </w:tr>
      <w:tr>
        <w:trPr/>
        <w:tc>
          <w:tcPr>
            <w:tcW w:w="14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355" w:type="dxa"/>
            <w:tcBorders/>
            <w:vAlign w:val="center"/>
          </w:tcPr>
          <w:p>
            <w:pPr>
              <w:pStyle w:val="TableContents"/>
              <w:bidi w:val="0"/>
              <w:spacing w:lineRule="atLeast" w:line="300" w:before="0" w:after="0"/>
              <w:jc w:val="center"/>
              <w:rPr>
                <w:rFonts w:ascii="ARIAL" w:hAnsi="ARIAL"/>
                <w:sz w:val="16"/>
              </w:rPr>
            </w:pPr>
            <w:r>
              <w:rPr>
                <w:rFonts w:ascii="ARIAL" w:hAnsi="ARIAL"/>
                <w:sz w:val="16"/>
              </w:rPr>
              <w:t>Supplemental ESP</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lineRule="atLeast" w:line="300" w:before="0" w:after="0"/>
              <w:jc w:val="left"/>
              <w:rPr/>
            </w:pPr>
            <w:r>
              <w:rPr/>
              <w:t> </w:t>
            </w:r>
          </w:p>
        </w:tc>
        <w:tc>
          <w:tcPr>
            <w:tcW w:w="1315" w:type="dxa"/>
            <w:tcBorders/>
            <w:vAlign w:val="center"/>
          </w:tcPr>
          <w:p>
            <w:pPr>
              <w:pStyle w:val="TableContents"/>
              <w:bidi w:val="0"/>
              <w:spacing w:lineRule="atLeast" w:line="300" w:before="0" w:after="0"/>
              <w:jc w:val="center"/>
              <w:rPr>
                <w:rFonts w:ascii="ARIAL" w:hAnsi="ARIAL"/>
                <w:sz w:val="16"/>
              </w:rPr>
            </w:pPr>
            <w:r>
              <w:rPr>
                <w:rFonts w:ascii="ARIAL" w:hAnsi="ARIAL"/>
                <w:sz w:val="16"/>
              </w:rPr>
              <w:t>52,507</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lineRule="atLeast" w:line="300" w:before="0" w:after="0"/>
              <w:jc w:val="left"/>
              <w:rPr/>
            </w:pPr>
            <w:r>
              <w:rPr/>
              <w:t> </w:t>
            </w:r>
          </w:p>
        </w:tc>
        <w:tc>
          <w:tcPr>
            <w:tcW w:w="1315" w:type="dxa"/>
            <w:tcBorders/>
            <w:vAlign w:val="center"/>
          </w:tcPr>
          <w:p>
            <w:pPr>
              <w:pStyle w:val="TableContents"/>
              <w:bidi w:val="0"/>
              <w:spacing w:lineRule="atLeast" w:line="300" w:before="0" w:after="0"/>
              <w:jc w:val="center"/>
              <w:rPr>
                <w:rFonts w:ascii="ARIAL" w:hAnsi="ARIAL"/>
                <w:sz w:val="16"/>
              </w:rPr>
            </w:pPr>
            <w:r>
              <w:rPr>
                <w:rFonts w:ascii="ARIAL" w:hAnsi="ARIAL"/>
                <w:sz w:val="16"/>
              </w:rPr>
              <w:t>61,340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300" w:before="0" w:after="0"/>
              <w:jc w:val="left"/>
              <w:rPr/>
            </w:pPr>
            <w:r>
              <w:rPr/>
              <w:t> </w:t>
            </w:r>
          </w:p>
        </w:tc>
        <w:tc>
          <w:tcPr>
            <w:tcW w:w="1015" w:type="dxa"/>
            <w:tcBorders/>
            <w:vAlign w:val="center"/>
          </w:tcPr>
          <w:p>
            <w:pPr>
              <w:pStyle w:val="TableContents"/>
              <w:bidi w:val="0"/>
              <w:spacing w:lineRule="atLeast" w:line="300" w:before="0" w:after="0"/>
              <w:jc w:val="center"/>
              <w:rPr>
                <w:rFonts w:ascii="ARIAL" w:hAnsi="ARIAL"/>
                <w:sz w:val="16"/>
              </w:rPr>
            </w:pPr>
            <w:r>
              <w:rPr>
                <w:rFonts w:ascii="ARIAL" w:hAnsi="ARIAL"/>
                <w:sz w:val="16"/>
              </w:rPr>
              <w:t>106,833</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tLeast" w:line="300" w:before="0" w:after="0"/>
              <w:jc w:val="left"/>
              <w:rPr/>
            </w:pPr>
            <w:r>
              <w:rPr/>
              <w:t> </w:t>
            </w:r>
          </w:p>
        </w:tc>
        <w:tc>
          <w:tcPr>
            <w:tcW w:w="1268" w:type="dxa"/>
            <w:tcBorders/>
            <w:vAlign w:val="center"/>
          </w:tcPr>
          <w:p>
            <w:pPr>
              <w:pStyle w:val="TableContents"/>
              <w:bidi w:val="0"/>
              <w:spacing w:lineRule="atLeast" w:line="300" w:before="0" w:after="0"/>
              <w:jc w:val="center"/>
              <w:rPr>
                <w:rFonts w:ascii="ARIAL" w:hAnsi="ARIAL"/>
                <w:sz w:val="16"/>
              </w:rPr>
            </w:pPr>
            <w:r>
              <w:rPr>
                <w:rFonts w:ascii="ARIAL" w:hAnsi="ARIAL"/>
                <w:sz w:val="16"/>
              </w:rPr>
              <w:t>(82,179)</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300" w:before="0" w:after="0"/>
              <w:jc w:val="left"/>
              <w:rPr/>
            </w:pPr>
            <w:r>
              <w:rPr/>
              <w:t> </w:t>
            </w:r>
          </w:p>
        </w:tc>
        <w:tc>
          <w:tcPr>
            <w:tcW w:w="1150" w:type="dxa"/>
            <w:tcBorders/>
            <w:vAlign w:val="center"/>
          </w:tcPr>
          <w:p>
            <w:pPr>
              <w:pStyle w:val="TableContents"/>
              <w:bidi w:val="0"/>
              <w:spacing w:lineRule="atLeast" w:line="300" w:before="0" w:after="0"/>
              <w:jc w:val="center"/>
              <w:rPr>
                <w:rFonts w:ascii="ARIAL" w:hAnsi="ARIAL"/>
                <w:sz w:val="16"/>
              </w:rPr>
            </w:pPr>
            <w:r>
              <w:rPr>
                <w:rFonts w:ascii="ARIAL" w:hAnsi="ARIAL"/>
                <w:sz w:val="16"/>
              </w:rPr>
              <w:t>974,390  </w:t>
            </w:r>
          </w:p>
        </w:tc>
        <w:tc>
          <w:tcPr>
            <w:tcW w:w="77" w:type="dxa"/>
            <w:tcBorders/>
            <w:vAlign w:val="center"/>
          </w:tcPr>
          <w:p>
            <w:pPr>
              <w:pStyle w:val="TableContents"/>
              <w:bidi w:val="0"/>
              <w:spacing w:lineRule="atLeast" w:line="300" w:before="0" w:after="0"/>
              <w:jc w:val="left"/>
              <w:rPr/>
            </w:pPr>
            <w:r>
              <w:rPr/>
              <w:t> </w:t>
            </w:r>
          </w:p>
        </w:tc>
      </w:tr>
      <w:tr>
        <w:trPr/>
        <w:tc>
          <w:tcPr>
            <w:tcW w:w="1406" w:type="dxa"/>
            <w:tcBorders/>
            <w:shd w:fill="D5EBF6" w:val="clear"/>
            <w:vAlign w:val="center"/>
          </w:tcPr>
          <w:p>
            <w:pPr>
              <w:pStyle w:val="TableContents"/>
              <w:bidi w:val="0"/>
              <w:spacing w:lineRule="atLeast" w:line="300" w:before="0" w:after="0"/>
              <w:jc w:val="left"/>
              <w:rPr/>
            </w:pPr>
            <w:r>
              <w:rPr/>
              <w:t> </w:t>
            </w:r>
            <w:r>
              <w:rPr>
                <w:rFonts w:ascii="ARIAL" w:hAnsi="ARIAL"/>
                <w:sz w:val="16"/>
              </w:rPr>
              <w:t>Tracy L. Platt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135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Supplemental ESP</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0" w:type="dxa"/>
            <w:tcBorders/>
            <w:shd w:fill="D5EBF6" w:val="clear"/>
            <w:vAlign w:val="center"/>
          </w:tcPr>
          <w:p>
            <w:pPr>
              <w:pStyle w:val="TableContents"/>
              <w:bidi w:val="0"/>
              <w:spacing w:lineRule="atLeast" w:line="300" w:before="0" w:after="0"/>
              <w:jc w:val="left"/>
              <w:rPr/>
            </w:pPr>
            <w:r>
              <w:rPr/>
              <w:t> </w:t>
            </w:r>
          </w:p>
        </w:tc>
        <w:tc>
          <w:tcPr>
            <w:tcW w:w="131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74,820</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0" w:type="dxa"/>
            <w:tcBorders/>
            <w:shd w:fill="D5EBF6" w:val="clear"/>
            <w:vAlign w:val="center"/>
          </w:tcPr>
          <w:p>
            <w:pPr>
              <w:pStyle w:val="TableContents"/>
              <w:bidi w:val="0"/>
              <w:spacing w:lineRule="atLeast" w:line="300" w:before="0" w:after="0"/>
              <w:jc w:val="left"/>
              <w:rPr/>
            </w:pPr>
            <w:r>
              <w:rPr/>
              <w:t> </w:t>
            </w:r>
          </w:p>
        </w:tc>
        <w:tc>
          <w:tcPr>
            <w:tcW w:w="131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53,820</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0" w:type="dxa"/>
            <w:tcBorders/>
            <w:shd w:fill="D5EBF6" w:val="clear"/>
            <w:vAlign w:val="center"/>
          </w:tcPr>
          <w:p>
            <w:pPr>
              <w:pStyle w:val="TableContents"/>
              <w:bidi w:val="0"/>
              <w:spacing w:lineRule="atLeast" w:line="300" w:before="0" w:after="0"/>
              <w:jc w:val="left"/>
              <w:rPr/>
            </w:pPr>
            <w:r>
              <w:rPr/>
              <w:t> </w:t>
            </w:r>
          </w:p>
        </w:tc>
        <w:tc>
          <w:tcPr>
            <w:tcW w:w="1015"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29,802</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2" w:type="dxa"/>
            <w:tcBorders/>
            <w:shd w:fill="D5EBF6" w:val="clear"/>
            <w:vAlign w:val="center"/>
          </w:tcPr>
          <w:p>
            <w:pPr>
              <w:pStyle w:val="TableContents"/>
              <w:bidi w:val="0"/>
              <w:spacing w:lineRule="atLeast" w:line="300" w:before="0" w:after="0"/>
              <w:jc w:val="left"/>
              <w:rPr/>
            </w:pPr>
            <w:r>
              <w:rPr/>
              <w:t> </w:t>
            </w:r>
          </w:p>
        </w:tc>
        <w:tc>
          <w:tcPr>
            <w:tcW w:w="1268"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lineRule="atLeast" w:line="300" w:before="0" w:after="0"/>
              <w:jc w:val="left"/>
              <w:rPr/>
            </w:pPr>
            <w:r>
              <w:rPr/>
              <w:t> </w:t>
            </w:r>
          </w:p>
        </w:tc>
        <w:tc>
          <w:tcPr>
            <w:tcW w:w="1150" w:type="dxa"/>
            <w:tcBorders/>
            <w:shd w:fill="D5EBF6" w:val="clear"/>
            <w:vAlign w:val="center"/>
          </w:tcPr>
          <w:p>
            <w:pPr>
              <w:pStyle w:val="TableContents"/>
              <w:bidi w:val="0"/>
              <w:spacing w:lineRule="atLeast" w:line="300" w:before="0" w:after="0"/>
              <w:jc w:val="center"/>
              <w:rPr>
                <w:rFonts w:ascii="ARIAL" w:hAnsi="ARIAL"/>
                <w:sz w:val="16"/>
              </w:rPr>
            </w:pPr>
            <w:r>
              <w:rPr>
                <w:rFonts w:ascii="ARIAL" w:hAnsi="ARIAL"/>
                <w:sz w:val="16"/>
              </w:rPr>
              <w:t>335,980  </w:t>
            </w:r>
          </w:p>
        </w:tc>
        <w:tc>
          <w:tcPr>
            <w:tcW w:w="77" w:type="dxa"/>
            <w:tcBorders/>
            <w:shd w:fill="D5EBF6" w:val="clear"/>
            <w:vAlign w:val="center"/>
          </w:tcPr>
          <w:p>
            <w:pPr>
              <w:pStyle w:val="TableContents"/>
              <w:bidi w:val="0"/>
              <w:spacing w:lineRule="atLeast" w:line="300" w:before="0" w:after="0"/>
              <w:jc w:val="left"/>
              <w:rPr/>
            </w:pPr>
            <w:r>
              <w:rPr/>
              <w:t> </w:t>
            </w:r>
          </w:p>
        </w:tc>
      </w:tr>
      <w:tr>
        <w:trPr/>
        <w:tc>
          <w:tcPr>
            <w:tcW w:w="1406" w:type="dxa"/>
            <w:tcBorders/>
            <w:vAlign w:val="center"/>
          </w:tcPr>
          <w:p>
            <w:pPr>
              <w:pStyle w:val="TableContents"/>
              <w:bidi w:val="0"/>
              <w:spacing w:lineRule="atLeast" w:line="300" w:before="0" w:after="0"/>
              <w:jc w:val="left"/>
              <w:rPr/>
            </w:pPr>
            <w:r>
              <w:rPr/>
              <w:t> </w:t>
            </w:r>
            <w:r>
              <w:rPr>
                <w:rFonts w:ascii="ARIAL" w:hAnsi="ARIAL"/>
                <w:sz w:val="16"/>
              </w:rPr>
              <w:t>Kristine K. Malkoski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355" w:type="dxa"/>
            <w:tcBorders/>
            <w:vAlign w:val="center"/>
          </w:tcPr>
          <w:p>
            <w:pPr>
              <w:pStyle w:val="TableContents"/>
              <w:bidi w:val="0"/>
              <w:spacing w:lineRule="atLeast" w:line="300" w:before="0" w:after="0"/>
              <w:jc w:val="center"/>
              <w:rPr>
                <w:rFonts w:ascii="ARIAL" w:hAnsi="ARIAL"/>
                <w:sz w:val="16"/>
              </w:rPr>
            </w:pPr>
            <w:r>
              <w:rPr>
                <w:rFonts w:ascii="ARIAL" w:hAnsi="ARIAL"/>
                <w:sz w:val="16"/>
              </w:rPr>
              <w:t>Supplemental ESP</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lineRule="atLeast" w:line="300" w:before="0" w:after="0"/>
              <w:jc w:val="left"/>
              <w:rPr/>
            </w:pPr>
            <w:r>
              <w:rPr/>
              <w:t> </w:t>
            </w:r>
          </w:p>
        </w:tc>
        <w:tc>
          <w:tcPr>
            <w:tcW w:w="1315" w:type="dxa"/>
            <w:tcBorders/>
            <w:vAlign w:val="center"/>
          </w:tcPr>
          <w:p>
            <w:pPr>
              <w:pStyle w:val="TableContents"/>
              <w:bidi w:val="0"/>
              <w:spacing w:lineRule="atLeast" w:line="300" w:before="0" w:after="0"/>
              <w:jc w:val="center"/>
              <w:rPr>
                <w:rFonts w:ascii="ARIAL" w:hAnsi="ARIAL"/>
                <w:sz w:val="16"/>
              </w:rPr>
            </w:pPr>
            <w:r>
              <w:rPr>
                <w:rFonts w:ascii="ARIAL" w:hAnsi="ARIAL"/>
                <w:sz w:val="16"/>
              </w:rPr>
              <w:t>125,728</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lineRule="atLeast" w:line="300" w:before="0" w:after="0"/>
              <w:jc w:val="left"/>
              <w:rPr/>
            </w:pPr>
            <w:r>
              <w:rPr/>
              <w:t> </w:t>
            </w:r>
          </w:p>
        </w:tc>
        <w:tc>
          <w:tcPr>
            <w:tcW w:w="1315" w:type="dxa"/>
            <w:tcBorders/>
            <w:vAlign w:val="center"/>
          </w:tcPr>
          <w:p>
            <w:pPr>
              <w:pStyle w:val="TableContents"/>
              <w:bidi w:val="0"/>
              <w:spacing w:lineRule="atLeast" w:line="300" w:before="0" w:after="0"/>
              <w:jc w:val="center"/>
              <w:rPr>
                <w:rFonts w:ascii="ARIAL" w:hAnsi="ARIAL"/>
                <w:sz w:val="16"/>
              </w:rPr>
            </w:pPr>
            <w:r>
              <w:rPr>
                <w:rFonts w:ascii="ARIAL" w:hAnsi="ARIAL"/>
                <w:sz w:val="16"/>
              </w:rPr>
              <w:t>44,375</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300" w:before="0" w:after="0"/>
              <w:jc w:val="left"/>
              <w:rPr/>
            </w:pPr>
            <w:r>
              <w:rPr/>
              <w:t> </w:t>
            </w:r>
          </w:p>
        </w:tc>
        <w:tc>
          <w:tcPr>
            <w:tcW w:w="1015" w:type="dxa"/>
            <w:tcBorders/>
            <w:vAlign w:val="center"/>
          </w:tcPr>
          <w:p>
            <w:pPr>
              <w:pStyle w:val="TableContents"/>
              <w:bidi w:val="0"/>
              <w:spacing w:lineRule="atLeast" w:line="30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tLeast" w:line="300" w:before="0" w:after="0"/>
              <w:jc w:val="left"/>
              <w:rPr/>
            </w:pPr>
            <w:r>
              <w:rPr/>
              <w:t> </w:t>
            </w:r>
          </w:p>
        </w:tc>
        <w:tc>
          <w:tcPr>
            <w:tcW w:w="1268" w:type="dxa"/>
            <w:tcBorders/>
            <w:vAlign w:val="center"/>
          </w:tcPr>
          <w:p>
            <w:pPr>
              <w:pStyle w:val="TableContents"/>
              <w:bidi w:val="0"/>
              <w:spacing w:lineRule="atLeast" w:line="30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300" w:before="0" w:after="0"/>
              <w:jc w:val="left"/>
              <w:rPr/>
            </w:pPr>
            <w:r>
              <w:rPr/>
              <w:t> </w:t>
            </w:r>
          </w:p>
        </w:tc>
        <w:tc>
          <w:tcPr>
            <w:tcW w:w="1150" w:type="dxa"/>
            <w:tcBorders/>
            <w:vAlign w:val="center"/>
          </w:tcPr>
          <w:p>
            <w:pPr>
              <w:pStyle w:val="TableContents"/>
              <w:bidi w:val="0"/>
              <w:spacing w:lineRule="atLeast" w:line="300" w:before="0" w:after="0"/>
              <w:jc w:val="center"/>
              <w:rPr>
                <w:rFonts w:ascii="ARIAL" w:hAnsi="ARIAL"/>
                <w:sz w:val="16"/>
              </w:rPr>
            </w:pPr>
            <w:r>
              <w:rPr>
                <w:rFonts w:ascii="ARIAL" w:hAnsi="ARIAL"/>
                <w:sz w:val="16"/>
              </w:rPr>
              <w:t>170,102  </w:t>
            </w:r>
          </w:p>
        </w:tc>
        <w:tc>
          <w:tcPr>
            <w:tcW w:w="77" w:type="dxa"/>
            <w:tcBorders/>
            <w:vAlign w:val="center"/>
          </w:tcPr>
          <w:p>
            <w:pPr>
              <w:pStyle w:val="TableContents"/>
              <w:bidi w:val="0"/>
              <w:spacing w:lineRule="atLeast" w:line="300" w:before="0" w:after="0"/>
              <w:jc w:val="left"/>
              <w:rPr/>
            </w:pPr>
            <w:r>
              <w:rPr/>
              <w:t>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both"/>
        <w:rPr/>
      </w:pP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both"/>
              <w:rPr>
                <w:rFonts w:ascii="ARIAL" w:hAnsi="ARIAL"/>
                <w:sz w:val="18"/>
              </w:rPr>
            </w:pPr>
            <w:r>
              <w:rPr>
                <w:rFonts w:ascii="ARIAL" w:hAnsi="ARIAL"/>
                <w:i/>
                <w:sz w:val="18"/>
                <w:u w:val="single"/>
              </w:rPr>
              <w:t>Executive Contributions in Last FY.</w:t>
            </w:r>
            <w:r>
              <w:rPr>
                <w:rFonts w:ascii="ARIAL" w:hAnsi="ARIAL"/>
                <w:sz w:val="18"/>
              </w:rPr>
              <w:t xml:space="preserve"> The amounts reported in this column for each named executive officer are reported as “</w:t>
            </w:r>
            <w:r>
              <w:rPr>
                <w:rFonts w:ascii="ARIAL" w:hAnsi="ARIAL"/>
                <w:i/>
                <w:sz w:val="18"/>
              </w:rPr>
              <w:t>Salary/Non-Equity Incentive Plan Compensation</w:t>
            </w:r>
            <w:r>
              <w:rPr>
                <w:rFonts w:ascii="ARIAL" w:hAnsi="ARIAL"/>
                <w:sz w:val="18"/>
              </w:rPr>
              <w:t>” in the “</w:t>
            </w:r>
            <w:r>
              <w:rPr>
                <w:rFonts w:ascii="ARIAL" w:hAnsi="ARIAL"/>
                <w:i/>
                <w:sz w:val="18"/>
              </w:rPr>
              <w:t>2025 Summary Compensation Table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both"/>
              <w:rPr>
                <w:rFonts w:ascii="ARIAL" w:hAnsi="ARIAL"/>
                <w:sz w:val="18"/>
              </w:rPr>
            </w:pPr>
            <w:r>
              <w:rPr>
                <w:rFonts w:ascii="ARIAL" w:hAnsi="ARIAL"/>
                <w:i/>
                <w:sz w:val="18"/>
                <w:u w:val="single"/>
              </w:rPr>
              <w:t>Company Contributions in Last FY.</w:t>
            </w:r>
            <w:r>
              <w:rPr>
                <w:rFonts w:ascii="ARIAL" w:hAnsi="ARIAL"/>
                <w:sz w:val="18"/>
              </w:rPr>
              <w:t xml:space="preserve"> For 2025, the Company contributed to each eligible named executive officer’s account under the Supplemental ESP the amount described in the table, as reported in the “</w:t>
            </w:r>
            <w:r>
              <w:rPr>
                <w:rFonts w:ascii="ARIAL" w:hAnsi="ARIAL"/>
                <w:i/>
                <w:sz w:val="18"/>
              </w:rPr>
              <w:t>All Other Compensation</w:t>
            </w:r>
            <w:r>
              <w:rPr>
                <w:rFonts w:ascii="ARIAL" w:hAnsi="ARIAL"/>
                <w:sz w:val="18"/>
              </w:rPr>
              <w:t>” column of the “</w:t>
            </w:r>
            <w:r>
              <w:rPr>
                <w:rFonts w:ascii="ARIAL" w:hAnsi="ARIAL"/>
                <w:i/>
                <w:sz w:val="18"/>
              </w:rPr>
              <w:t>2025 Summary Compensation Table</w:t>
            </w:r>
            <w:r>
              <w:rPr>
                <w:rFonts w:ascii="ARIAL" w:hAnsi="ARIAL"/>
                <w:sz w:val="18"/>
              </w:rPr>
              <w:t xml:space="preserve">.” Company contributions were credited in March 2026 for contributions granted under the Supplemental ESP in 2025. No Company contributions are reflected for the 2008 Plan because the 2008 Plan was frozen to future deferrals as of January 1, 2018 with respect to the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(3)</w:t>
            </w:r>
          </w:p>
        </w:tc>
        <w:tc>
          <w:tcPr>
            <w:tcW w:w="9931" w:type="dxa"/>
            <w:tcBorders/>
            <w:vAlign w:val="center"/>
          </w:tcPr>
          <w:p>
            <w:pPr>
              <w:pStyle w:val="TableContents"/>
              <w:bidi w:val="0"/>
              <w:spacing w:before="0" w:after="0"/>
              <w:jc w:val="both"/>
              <w:rPr>
                <w:rFonts w:ascii="ARIAL" w:hAnsi="ARIAL"/>
                <w:sz w:val="18"/>
              </w:rPr>
            </w:pPr>
            <w:r>
              <w:rPr>
                <w:rFonts w:ascii="ARIAL" w:hAnsi="ARIAL"/>
                <w:i/>
                <w:sz w:val="18"/>
                <w:u w:val="single"/>
              </w:rPr>
              <w:t>Aggregate Earnings (Loss) in Last FY.</w:t>
            </w:r>
            <w:r>
              <w:rPr>
                <w:rFonts w:ascii="ARIAL" w:hAnsi="ARIAL"/>
                <w:sz w:val="18"/>
              </w:rPr>
              <w:t xml:space="preserve"> The investment earnings/loss for 2025 reported in this column for each named executive officer is not included in the “</w:t>
            </w:r>
            <w:r>
              <w:rPr>
                <w:rFonts w:ascii="ARIAL" w:hAnsi="ARIAL"/>
                <w:i/>
                <w:sz w:val="18"/>
              </w:rPr>
              <w:t>2025 Summary Compensation Table</w:t>
            </w:r>
            <w:r>
              <w:rPr>
                <w:rFonts w:ascii="ARIAL" w:hAnsi="ARIAL"/>
                <w:sz w:val="18"/>
              </w:rPr>
              <w:t xml:space="preserve">.”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305"/>
        <w:gridCol w:w="9740"/>
      </w:tblGrid>
      <w:tr>
        <w:trPr/>
        <w:tc>
          <w:tcPr>
            <w:tcW w:w="305" w:type="dxa"/>
            <w:tcBorders/>
            <w:vAlign w:val="center"/>
          </w:tcPr>
          <w:p>
            <w:pPr>
              <w:pStyle w:val="TableContents"/>
              <w:bidi w:val="0"/>
              <w:spacing w:before="0" w:after="283"/>
              <w:jc w:val="left"/>
              <w:rPr/>
            </w:pPr>
            <w:r>
              <w:rPr/>
              <w:t>(4)</w:t>
            </w:r>
          </w:p>
        </w:tc>
        <w:tc>
          <w:tcPr>
            <w:tcW w:w="9740" w:type="dxa"/>
            <w:tcBorders/>
            <w:vAlign w:val="center"/>
          </w:tcPr>
          <w:p>
            <w:pPr>
              <w:pStyle w:val="TableContents"/>
              <w:bidi w:val="0"/>
              <w:spacing w:before="0" w:after="0"/>
              <w:jc w:val="both"/>
              <w:rPr>
                <w:rFonts w:ascii="ARIAL" w:hAnsi="ARIAL"/>
                <w:sz w:val="18"/>
              </w:rPr>
            </w:pPr>
            <w:r>
              <w:rPr>
                <w:rFonts w:ascii="ARIAL" w:hAnsi="ARIAL"/>
                <w:i/>
                <w:sz w:val="18"/>
                <w:u w:val="single"/>
              </w:rPr>
              <w:t>Aggregate Withdrawals/Distributions.</w:t>
            </w:r>
            <w:r>
              <w:rPr>
                <w:rFonts w:ascii="ARIAL" w:hAnsi="ARIAL"/>
                <w:sz w:val="18"/>
              </w:rPr>
              <w:t xml:space="preserve"> Mr. Turner received a distribution of $82,179 from the Supplemental ESP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0"/>
              <w:jc w:val="both"/>
              <w:rPr>
                <w:rFonts w:ascii="ARIAL" w:hAnsi="ARIAL"/>
                <w:sz w:val="18"/>
              </w:rPr>
            </w:pPr>
            <w:r>
              <w:rPr>
                <w:rFonts w:ascii="ARIAL" w:hAnsi="ARIAL"/>
                <w:i/>
                <w:sz w:val="18"/>
                <w:u w:val="single"/>
              </w:rPr>
              <w:t>Aggregate Balance at Last FYE.</w:t>
            </w:r>
            <w:r>
              <w:rPr>
                <w:rFonts w:ascii="ARIAL" w:hAnsi="ARIAL"/>
                <w:sz w:val="18"/>
              </w:rPr>
              <w:t xml:space="preserve"> The following amount with respect to the 2008 Plan was reported in prior years’ summary compensation tables: Mr. Turner, $77,684. The following amounts with respect to the Supplemental ESP were reported in prior years’ summary compensation tables: Mr. Peterson, $2,041,469; Mr. Erceg, $429,892; Mr. Turner, $927,966; Ms. Platt, $176,252; and Ms. Malkoski, $0. The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530" w:type="dxa"/>
        <w:jc w:val="left"/>
        <w:tblInd w:w="0" w:type="dxa"/>
        <w:tblLayout w:type="fixed"/>
        <w:tblCellMar>
          <w:top w:w="0" w:type="dxa"/>
          <w:left w:w="0" w:type="dxa"/>
          <w:bottom w:w="0" w:type="dxa"/>
          <w:right w:w="0" w:type="dxa"/>
        </w:tblCellMar>
      </w:tblPr>
      <w:tblGrid>
        <w:gridCol w:w="75"/>
        <w:gridCol w:w="9455"/>
      </w:tblGrid>
      <w:tr>
        <w:trPr/>
        <w:tc>
          <w:tcPr>
            <w:tcW w:w="75"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both"/>
              <w:rPr>
                <w:rFonts w:ascii="ARIAL" w:hAnsi="ARIAL"/>
                <w:sz w:val="18"/>
              </w:rPr>
            </w:pPr>
            <w:r>
              <w:rPr>
                <w:rFonts w:ascii="ARIAL" w:hAnsi="ARIAL"/>
                <w:sz w:val="18"/>
              </w:rPr>
              <w:t xml:space="preserve">Aggregate Balance at Last FYE column in this table includes 2025 accrued contributions that were credited in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(6)</w:t>
            </w:r>
          </w:p>
        </w:tc>
        <w:tc>
          <w:tcPr>
            <w:tcW w:w="9961" w:type="dxa"/>
            <w:tcBorders/>
            <w:vAlign w:val="center"/>
          </w:tcPr>
          <w:p>
            <w:pPr>
              <w:pStyle w:val="TableContents"/>
              <w:bidi w:val="0"/>
              <w:spacing w:before="0" w:after="0"/>
              <w:jc w:val="both"/>
              <w:rPr>
                <w:rFonts w:ascii="ARIAL" w:hAnsi="ARIAL"/>
                <w:sz w:val="18"/>
              </w:rPr>
            </w:pPr>
            <w:r>
              <w:rPr>
                <w:rFonts w:ascii="ARIAL" w:hAnsi="ARIAL"/>
                <w:i/>
                <w:sz w:val="18"/>
                <w:u w:val="single"/>
              </w:rPr>
              <w:t>Legacy Accounts under 2008 Plan.</w:t>
            </w:r>
            <w:r>
              <w:rPr>
                <w:rFonts w:ascii="ARIAL" w:hAnsi="ARIAL"/>
                <w:sz w:val="18"/>
              </w:rPr>
              <w:t xml:space="preserve"> Prior to 2018, Mr. Turner received “</w:t>
            </w:r>
            <w:r>
              <w:rPr>
                <w:rFonts w:ascii="ARIAL" w:hAnsi="ARIAL"/>
                <w:b/>
                <w:sz w:val="18"/>
              </w:rPr>
              <w:t>SERP Cash Account Credits</w:t>
            </w:r>
            <w:r>
              <w:rPr>
                <w:rFonts w:ascii="ARIAL" w:hAnsi="ARIAL"/>
                <w:sz w:val="18"/>
              </w:rPr>
              <w:t>,” as defined in the 2008 Plan, which vested ratably in annual installments based on his continued employment with the Company, and which, once vested, continue to be maintained in an investment account (each, a “</w:t>
            </w:r>
            <w:r>
              <w:rPr>
                <w:rFonts w:ascii="ARIAL" w:hAnsi="ARIAL"/>
                <w:b/>
                <w:sz w:val="18"/>
              </w:rPr>
              <w:t>Cash Account</w:t>
            </w:r>
            <w:r>
              <w:rPr>
                <w:rFonts w:ascii="ARIAL" w:hAnsi="ARIAL"/>
                <w:sz w:val="18"/>
              </w:rPr>
              <w:t xml:space="preserve">”) for the eligible named executive officer’s benefit pursuant to the 2008 Plan. The balances set forth in the table for Mr. Turner relating to the 2008 Plan reflect legacy contribution credits made before this benefit was discontinued. </w:t>
            </w:r>
          </w:p>
        </w:tc>
      </w:tr>
    </w:tbl>
    <w:p>
      <w:pPr>
        <w:pStyle w:val="TextBody"/>
        <w:bidi w:val="0"/>
        <w:spacing w:before="360" w:after="0"/>
        <w:jc w:val="both"/>
        <w:rPr>
          <w:rFonts w:ascii="ARIAL" w:hAnsi="ARIAL"/>
          <w:b/>
          <w:i/>
          <w:color w:val="248EC3"/>
          <w:sz w:val="22"/>
        </w:rPr>
      </w:pPr>
      <w:r>
        <w:rPr>
          <w:rFonts w:ascii="ARIAL" w:hAnsi="ARIAL"/>
          <w:b/>
          <w:i/>
          <w:color w:val="248EC3"/>
          <w:sz w:val="22"/>
        </w:rPr>
        <w:t xml:space="preserve">Deferred Compensation Plans. </w:t>
      </w:r>
    </w:p>
    <w:p>
      <w:pPr>
        <w:pStyle w:val="TextBody"/>
        <w:bidi w:val="0"/>
        <w:spacing w:before="240" w:after="0"/>
        <w:jc w:val="left"/>
        <w:rPr>
          <w:rFonts w:ascii="ARIAL" w:hAnsi="ARIAL"/>
          <w:i/>
          <w:sz w:val="22"/>
          <w:u w:val="single"/>
        </w:rPr>
      </w:pPr>
      <w:r>
        <w:rPr>
          <w:rFonts w:ascii="ARIAL" w:hAnsi="ARIAL"/>
          <w:i/>
          <w:sz w:val="22"/>
          <w:u w:val="single"/>
        </w:rPr>
        <w:t xml:space="preserve">2008 Plan </w:t>
      </w:r>
    </w:p>
    <w:p>
      <w:pPr>
        <w:pStyle w:val="TextBody"/>
        <w:bidi w:val="0"/>
        <w:spacing w:before="240" w:after="0"/>
        <w:jc w:val="both"/>
        <w:rPr>
          <w:rFonts w:ascii="ARIAL" w:hAnsi="ARIAL"/>
          <w:sz w:val="22"/>
        </w:rPr>
      </w:pPr>
      <w:r>
        <w:rPr>
          <w:rFonts w:ascii="ARIAL" w:hAnsi="ARIAL"/>
          <w:b/>
          <w:i/>
          <w:sz w:val="22"/>
        </w:rPr>
        <w:t>Eligibility</w:t>
      </w:r>
      <w:r>
        <w:rPr>
          <w:rFonts w:ascii="ARIAL" w:hAnsi="ARIAL"/>
          <w:sz w:val="22"/>
        </w:rPr>
        <w:t xml:space="preserve">. Mr. Turner was eligible to participate in the 2008 Plan. </w:t>
      </w:r>
    </w:p>
    <w:p>
      <w:pPr>
        <w:pStyle w:val="TextBody"/>
        <w:bidi w:val="0"/>
        <w:spacing w:before="240" w:after="0"/>
        <w:jc w:val="both"/>
        <w:rPr>
          <w:rFonts w:ascii="ARIAL" w:hAnsi="ARIAL"/>
          <w:sz w:val="22"/>
        </w:rPr>
      </w:pPr>
      <w:r>
        <w:rPr>
          <w:rFonts w:ascii="ARIAL" w:hAnsi="ARIAL"/>
          <w:b/>
          <w:i/>
          <w:sz w:val="22"/>
        </w:rPr>
        <w:t>Participant Contributions</w:t>
      </w:r>
      <w:r>
        <w:rPr>
          <w:rFonts w:ascii="ARIAL" w:hAnsi="ARIAL"/>
          <w:sz w:val="22"/>
        </w:rPr>
        <w:t xml:space="preserve">. For each calendar year prior to 2018, a participant could elect to defer to the 2008 Plan up to 50% of his or her base salary and up to 100% of any cash bonus paid for the calendar year. The deferred amounts were credited to an account established for the participant. As of January 1, 2018, the 2008 Plan was frozen to future employee deferrals except for a small number of grandfathered participants, none of whom are named executive officers. </w:t>
      </w:r>
    </w:p>
    <w:p>
      <w:pPr>
        <w:pStyle w:val="TextBody"/>
        <w:bidi w:val="0"/>
        <w:spacing w:before="240" w:after="0"/>
        <w:jc w:val="both"/>
        <w:rPr>
          <w:rFonts w:ascii="ARIAL" w:hAnsi="ARIAL"/>
          <w:sz w:val="22"/>
        </w:rPr>
      </w:pPr>
      <w:r>
        <w:rPr>
          <w:rFonts w:ascii="ARIAL" w:hAnsi="ARIAL"/>
          <w:b/>
          <w:i/>
          <w:sz w:val="22"/>
        </w:rPr>
        <w:t>Cash Account-Basic Contribution</w:t>
      </w:r>
      <w:r>
        <w:rPr>
          <w:rFonts w:ascii="ARIAL" w:hAnsi="ARIAL"/>
          <w:sz w:val="22"/>
        </w:rPr>
        <w:t xml:space="preserve">. Mr. Turner had funds credited for his benefit in a Cash Account as contributions made by the Company pursuant to the 2008 Plan. Prior to 2018, Mr. Turner received an annual basic contribution credit. This annual contribution credit to Cash Accounts was discontinued for all plan years following 2017 in connection with the adoption of the Supplemental ESP. </w:t>
      </w:r>
    </w:p>
    <w:p>
      <w:pPr>
        <w:pStyle w:val="TextBody"/>
        <w:bidi w:val="0"/>
        <w:spacing w:before="240" w:after="0"/>
        <w:jc w:val="both"/>
        <w:rPr>
          <w:rFonts w:ascii="ARIAL" w:hAnsi="ARIAL"/>
          <w:sz w:val="22"/>
        </w:rPr>
      </w:pPr>
      <w:r>
        <w:rPr>
          <w:rFonts w:ascii="ARIAL" w:hAnsi="ARIAL"/>
          <w:b/>
          <w:i/>
          <w:sz w:val="22"/>
        </w:rPr>
        <w:t>Vesting</w:t>
      </w:r>
      <w:r>
        <w:rPr>
          <w:rFonts w:ascii="ARIAL" w:hAnsi="ARIAL"/>
          <w:sz w:val="22"/>
        </w:rPr>
        <w:t xml:space="preserve">. Many of the contributions made by the Company were subject to ratable annual vesting schedules. Mr. Turner is currently 100% vested in his Cash Account balance and other benefits under the 2008 Plan. </w:t>
      </w:r>
    </w:p>
    <w:p>
      <w:pPr>
        <w:pStyle w:val="TextBody"/>
        <w:bidi w:val="0"/>
        <w:spacing w:before="240" w:after="0"/>
        <w:jc w:val="both"/>
        <w:rPr>
          <w:rFonts w:ascii="ARIAL" w:hAnsi="ARIAL"/>
          <w:sz w:val="22"/>
        </w:rPr>
      </w:pPr>
      <w:r>
        <w:rPr>
          <w:rFonts w:ascii="ARIAL" w:hAnsi="ARIAL"/>
          <w:b/>
          <w:i/>
          <w:sz w:val="22"/>
        </w:rPr>
        <w:t>Investments</w:t>
      </w:r>
      <w:r>
        <w:rPr>
          <w:rFonts w:ascii="ARIAL" w:hAnsi="ARIAL"/>
          <w:sz w:val="22"/>
        </w:rPr>
        <w:t xml:space="preserve">. Each Cash Account is credited with earnings and losses based on investment alternatives made available in the 2008 Plan and selected by the named executive officer from time to time. </w:t>
      </w:r>
    </w:p>
    <w:p>
      <w:pPr>
        <w:pStyle w:val="TextBody"/>
        <w:bidi w:val="0"/>
        <w:spacing w:before="240" w:after="0"/>
        <w:jc w:val="both"/>
        <w:rPr>
          <w:rFonts w:ascii="ARIAL" w:hAnsi="ARIAL"/>
          <w:sz w:val="22"/>
        </w:rPr>
      </w:pPr>
      <w:r>
        <w:rPr>
          <w:rFonts w:ascii="ARIAL" w:hAnsi="ARIAL"/>
          <w:b/>
          <w:i/>
          <w:sz w:val="22"/>
        </w:rPr>
        <w:t>Distributions</w:t>
      </w:r>
      <w:r>
        <w:rPr>
          <w:rFonts w:ascii="ARIAL" w:hAnsi="ARIAL"/>
          <w:sz w:val="22"/>
        </w:rPr>
        <w:t xml:space="preserve">. Mr. Turner’s retirement account and the vested portion of his Company contributions account will be paid out in a lump sum upon termination of employment. The payment or commencement of the benefits will be made in the year after the year of his termination of employment, but not sooner than six months after the date of such termination. </w:t>
      </w:r>
    </w:p>
    <w:p>
      <w:pPr>
        <w:pStyle w:val="TextBody"/>
        <w:bidi w:val="0"/>
        <w:spacing w:before="240" w:after="0"/>
        <w:jc w:val="both"/>
        <w:rPr>
          <w:rFonts w:ascii="ARIAL" w:hAnsi="ARIAL"/>
          <w:sz w:val="22"/>
        </w:rPr>
      </w:pPr>
      <w:r>
        <w:rPr>
          <w:rFonts w:ascii="ARIAL" w:hAnsi="ARIAL"/>
          <w:sz w:val="22"/>
        </w:rPr>
        <w:t xml:space="preserve">In addition, upon Mr. Turner’s death, deferrals and Company contributions will be paid to beneficiaries in accordance with his payment election for amounts payable on a termination of employment. In the event of Mr. Turner’s termination of employment within two years following a “change in control event” with respect to the Company (for Internal Revenue Code Section 409A purposes), the entire undistributed balance of his Cash Account would be paid pursuant to the 2008 Plan in a lump sum on the first business day of the seventh month following the named executive officer’s termination of employment. Mr. Turner may also request a distribution as necessary to satisfy an unforeseeable emergency.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u w:val="single"/>
        </w:rPr>
      </w:pPr>
      <w:r>
        <w:rPr>
          <w:rFonts w:ascii="ARIAL" w:hAnsi="ARIAL"/>
          <w:i/>
          <w:sz w:val="22"/>
          <w:u w:val="single"/>
        </w:rPr>
        <w:t xml:space="preserve">Supplemental ESP </w:t>
      </w:r>
    </w:p>
    <w:p>
      <w:pPr>
        <w:pStyle w:val="TextBody"/>
        <w:bidi w:val="0"/>
        <w:spacing w:before="240" w:after="0"/>
        <w:jc w:val="both"/>
        <w:rPr>
          <w:rFonts w:ascii="ARIAL" w:hAnsi="ARIAL"/>
          <w:sz w:val="22"/>
        </w:rPr>
      </w:pPr>
      <w:r>
        <w:rPr>
          <w:rFonts w:ascii="ARIAL" w:hAnsi="ARIAL"/>
          <w:b/>
          <w:i/>
          <w:sz w:val="22"/>
        </w:rPr>
        <w:t>Eligibility</w:t>
      </w:r>
      <w:r>
        <w:rPr>
          <w:rFonts w:ascii="ARIAL" w:hAnsi="ARIAL"/>
          <w:sz w:val="22"/>
        </w:rPr>
        <w:t xml:space="preserve">. All the named executive officers are eligible to participate in the Supplemental ESP. </w:t>
      </w:r>
    </w:p>
    <w:p>
      <w:pPr>
        <w:pStyle w:val="TextBody"/>
        <w:bidi w:val="0"/>
        <w:spacing w:before="240" w:after="0"/>
        <w:jc w:val="both"/>
        <w:rPr>
          <w:rFonts w:ascii="ARIAL" w:hAnsi="ARIAL"/>
          <w:sz w:val="22"/>
        </w:rPr>
      </w:pPr>
      <w:r>
        <w:rPr>
          <w:rFonts w:ascii="ARIAL" w:hAnsi="ARIAL"/>
          <w:b/>
          <w:i/>
          <w:sz w:val="22"/>
        </w:rPr>
        <w:t>Participant Contributions</w:t>
      </w:r>
      <w:r>
        <w:rPr>
          <w:rFonts w:ascii="ARIAL" w:hAnsi="ARIAL"/>
          <w:i/>
          <w:sz w:val="22"/>
        </w:rPr>
        <w:t>.</w:t>
      </w:r>
      <w:r>
        <w:rPr>
          <w:rFonts w:ascii="ARIAL" w:hAnsi="ARIAL"/>
          <w:sz w:val="22"/>
        </w:rPr>
        <w:t xml:space="preserve"> For each calendar year, a participant can elect to defer up to 50% of his or her base salary in excess of the IRS 401(a)(17) limit and, for any elections prior to November 14, 2025 up to 100% of any annual incentive bonus on a pre-tax basis, and for any elections on or after November 14, 2025 up to 75% of any annual incentive bonus on a pre-tax basis. The deferred amounts are credited to an account established for the participant. </w:t>
      </w:r>
    </w:p>
    <w:p>
      <w:pPr>
        <w:pStyle w:val="TextBody"/>
        <w:bidi w:val="0"/>
        <w:spacing w:before="240" w:after="0"/>
        <w:jc w:val="both"/>
        <w:rPr>
          <w:rFonts w:ascii="ARIAL" w:hAnsi="ARIAL"/>
          <w:sz w:val="22"/>
        </w:rPr>
      </w:pPr>
      <w:r>
        <w:rPr>
          <w:rFonts w:ascii="ARIAL" w:hAnsi="ARIAL"/>
          <w:b/>
          <w:i/>
          <w:sz w:val="22"/>
        </w:rPr>
        <w:t>Company Contributions</w:t>
      </w:r>
      <w:r>
        <w:rPr>
          <w:rFonts w:ascii="ARIAL" w:hAnsi="ARIAL"/>
          <w:sz w:val="22"/>
        </w:rPr>
        <w:t xml:space="preserve">. For each calendar year, the Company will credit participants with a matching contribution for up to 6% of their base pay in excess of the IRS 401(a)(17) limit, subject to applicable conditions. The Company will also make a matching contribution for up to 6% of their annual incentive bonus, subject to applicable conditions. The Company also has the ability to make discretionary matching contributions under the Supplemental ESP. </w:t>
      </w:r>
    </w:p>
    <w:p>
      <w:pPr>
        <w:pStyle w:val="TextBody"/>
        <w:bidi w:val="0"/>
        <w:spacing w:before="240" w:after="0"/>
        <w:jc w:val="both"/>
        <w:rPr>
          <w:rFonts w:ascii="ARIAL" w:hAnsi="ARIAL"/>
          <w:sz w:val="22"/>
        </w:rPr>
      </w:pPr>
      <w:r>
        <w:rPr>
          <w:rFonts w:ascii="ARIAL" w:hAnsi="ARIAL"/>
          <w:b/>
          <w:i/>
          <w:sz w:val="22"/>
        </w:rPr>
        <w:t>Compensation</w:t>
      </w:r>
      <w:r>
        <w:rPr>
          <w:rFonts w:ascii="ARIAL" w:hAnsi="ARIAL"/>
          <w:sz w:val="22"/>
        </w:rPr>
        <w:t xml:space="preserve">. The amount of compensation deferred under the Supplemental ESP is based on elections by each participant in accordance with the terms of the Supplemental ESP, the Company contributions and the earnings or losses thereon. The obligation of the Company to pay such deferred compensation will become due as pre-designated by each participant or on retirement, death or other termination of employment in the form and on the date or dates determined in accordance with the terms of the Supplemental ESP. </w:t>
      </w:r>
    </w:p>
    <w:p>
      <w:pPr>
        <w:pStyle w:val="TextBody"/>
        <w:bidi w:val="0"/>
        <w:spacing w:before="240" w:after="0"/>
        <w:jc w:val="both"/>
        <w:rPr>
          <w:rFonts w:ascii="ARIAL" w:hAnsi="ARIAL"/>
          <w:sz w:val="22"/>
        </w:rPr>
      </w:pPr>
      <w:r>
        <w:rPr>
          <w:rFonts w:ascii="ARIAL" w:hAnsi="ARIAL"/>
          <w:b/>
          <w:i/>
          <w:sz w:val="22"/>
        </w:rPr>
        <w:t>Vesting</w:t>
      </w:r>
      <w:r>
        <w:rPr>
          <w:rFonts w:ascii="ARIAL" w:hAnsi="ARIAL"/>
          <w:sz w:val="22"/>
        </w:rPr>
        <w:t xml:space="preserve">. All eligible participants will be at all times 100% vested in their entire benefit under the Supplemental ESP, except that the Company may establish a vesting schedule for any discretionary employer contributions. </w:t>
      </w:r>
    </w:p>
    <w:p>
      <w:pPr>
        <w:pStyle w:val="TextBody"/>
        <w:bidi w:val="0"/>
        <w:spacing w:before="240" w:after="0"/>
        <w:jc w:val="both"/>
        <w:rPr>
          <w:rFonts w:ascii="ARIAL" w:hAnsi="ARIAL"/>
          <w:sz w:val="22"/>
        </w:rPr>
      </w:pPr>
      <w:r>
        <w:rPr>
          <w:rFonts w:ascii="ARIAL" w:hAnsi="ARIAL"/>
          <w:b/>
          <w:i/>
          <w:sz w:val="22"/>
        </w:rPr>
        <w:t>Investments</w:t>
      </w:r>
      <w:r>
        <w:rPr>
          <w:rFonts w:ascii="ARIAL" w:hAnsi="ARIAL"/>
          <w:sz w:val="22"/>
        </w:rPr>
        <w:t xml:space="preserve">. Amounts deferred under the Supplemental ESP will be credited with investment returns based on investment alternatives chosen by each participant, and the amount payable to each participant will reflect the investment returns of the chosen investment alternatives. </w:t>
      </w:r>
    </w:p>
    <w:p>
      <w:pPr>
        <w:pStyle w:val="TextBody"/>
        <w:bidi w:val="0"/>
        <w:spacing w:before="240" w:after="0"/>
        <w:jc w:val="both"/>
        <w:rPr>
          <w:rFonts w:ascii="ARIAL" w:hAnsi="ARIAL"/>
          <w:sz w:val="22"/>
        </w:rPr>
      </w:pPr>
      <w:r>
        <w:rPr>
          <w:rFonts w:ascii="ARIAL" w:hAnsi="ARIAL"/>
          <w:b/>
          <w:i/>
          <w:sz w:val="22"/>
        </w:rPr>
        <w:t>Distributions</w:t>
      </w:r>
      <w:r>
        <w:rPr>
          <w:rFonts w:ascii="ARIAL" w:hAnsi="ARIAL"/>
          <w:sz w:val="22"/>
        </w:rPr>
        <w:t xml:space="preserve">. At the time a participant makes a deferral election, he or she must elect whether such amount is to be paid in a lump sum or in annual installments of not more than 10 years. If no selection is made, the amount will be paid out in a lump sum. The amount will be paid out as elected upon termination of employment for each named executive officer, but not sooner than six months after the date of such termination, or a month and year elected by the participant which must be at least three years after the last day of the plan year for which the election relates (unless termination of employment occurs before such month and year, in which case distributions would commence in connection with such termination, but not sooner than six months after such termination). Payments with respect to Company contributions will commence upon a participant’s termination of employment, but not sooner than six months after such termination. The Company has the authority, subject to certain limitations, to terminate the Supplemental ESP in connection with a “change in control event” with respect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to the Company (for Internal Revenue Code Section 409A purposes) and distribute each affected participant’s entire vested account. </w:t>
      </w:r>
    </w:p>
    <w:p>
      <w:pPr>
        <w:pStyle w:val="TextBody"/>
        <w:bidi w:val="0"/>
        <w:spacing w:before="240" w:after="0"/>
        <w:jc w:val="both"/>
        <w:rPr>
          <w:rFonts w:ascii="ARIAL" w:hAnsi="ARIAL"/>
          <w:b/>
          <w:color w:val="248EC3"/>
          <w:sz w:val="22"/>
        </w:rPr>
      </w:pPr>
      <w:r>
        <w:rPr>
          <w:rFonts w:ascii="ARIAL" w:hAnsi="ARIAL"/>
          <w:b/>
          <w:color w:val="248EC3"/>
          <w:sz w:val="22"/>
        </w:rPr>
        <w:t xml:space="preserve">POTENTIAL PAYMENTS UPON TERMINATION OR CHANGE IN CONTROL OF THE COMPANY </w:t>
      </w:r>
    </w:p>
    <w:p>
      <w:pPr>
        <w:pStyle w:val="TextBody"/>
        <w:bidi w:val="0"/>
        <w:spacing w:before="240" w:after="0"/>
        <w:jc w:val="both"/>
        <w:rPr>
          <w:rFonts w:ascii="ARIAL" w:hAnsi="ARIAL"/>
          <w:sz w:val="22"/>
        </w:rPr>
      </w:pPr>
      <w:r>
        <w:rPr>
          <w:rFonts w:ascii="ARIAL" w:hAnsi="ARIAL"/>
          <w:sz w:val="22"/>
        </w:rPr>
        <w:t xml:space="preserve">The Company provides certain additional benefits to eligible employees upon certain types of termination of employment, including termination of employment following a change in control of the Company. All named executive officers were eligible for benefits under these circumstances as of December 31, 2025. </w:t>
      </w:r>
    </w:p>
    <w:p>
      <w:pPr>
        <w:pStyle w:val="TextBody"/>
        <w:bidi w:val="0"/>
        <w:spacing w:before="240" w:after="0"/>
        <w:jc w:val="left"/>
        <w:rPr>
          <w:rFonts w:ascii="ARIAL" w:hAnsi="ARIAL"/>
          <w:b/>
          <w:i/>
          <w:color w:val="248EC3"/>
          <w:sz w:val="22"/>
        </w:rPr>
      </w:pPr>
      <w:r>
        <w:rPr>
          <w:rFonts w:ascii="ARIAL" w:hAnsi="ARIAL"/>
          <w:b/>
          <w:i/>
          <w:color w:val="248EC3"/>
          <w:sz w:val="22"/>
        </w:rPr>
        <w:t xml:space="preserve">Termination of Employment Following a Change in Control </w:t>
      </w:r>
    </w:p>
    <w:p>
      <w:pPr>
        <w:pStyle w:val="TextBody"/>
        <w:bidi w:val="0"/>
        <w:spacing w:before="240" w:after="0"/>
        <w:jc w:val="left"/>
        <w:rPr>
          <w:rFonts w:ascii="ARIAL" w:hAnsi="ARIAL"/>
          <w:i/>
          <w:sz w:val="22"/>
          <w:u w:val="single"/>
        </w:rPr>
      </w:pPr>
      <w:r>
        <w:rPr>
          <w:rFonts w:ascii="ARIAL" w:hAnsi="ARIAL"/>
          <w:i/>
          <w:sz w:val="22"/>
          <w:u w:val="single"/>
        </w:rPr>
        <w:t xml:space="preserve">Newell Brands Executive Severance Plan </w:t>
      </w:r>
    </w:p>
    <w:p>
      <w:pPr>
        <w:pStyle w:val="TextBody"/>
        <w:bidi w:val="0"/>
        <w:spacing w:before="240" w:after="0"/>
        <w:jc w:val="both"/>
        <w:rPr>
          <w:rFonts w:ascii="ARIAL" w:hAnsi="ARIAL"/>
          <w:sz w:val="22"/>
        </w:rPr>
      </w:pPr>
      <w:r>
        <w:rPr>
          <w:rFonts w:ascii="ARIAL" w:hAnsi="ARIAL"/>
          <w:sz w:val="22"/>
        </w:rPr>
        <w:t xml:space="preserve">As of the date of this Proxy Statement, each of the named executive officers participates in the Severance Plan. </w:t>
      </w:r>
    </w:p>
    <w:p>
      <w:pPr>
        <w:pStyle w:val="TextBody"/>
        <w:bidi w:val="0"/>
        <w:spacing w:before="240" w:after="0"/>
        <w:jc w:val="both"/>
        <w:rPr>
          <w:rFonts w:ascii="ARIAL" w:hAnsi="ARIAL"/>
          <w:sz w:val="22"/>
        </w:rPr>
      </w:pPr>
      <w:r>
        <w:rPr>
          <w:rFonts w:ascii="ARIAL" w:hAnsi="ARIAL"/>
          <w:sz w:val="22"/>
        </w:rPr>
        <w:t>The Severance Plan provides for benefits upon either of two types of employment termination involving a participating executive (an “</w:t>
      </w:r>
      <w:r>
        <w:rPr>
          <w:rFonts w:ascii="ARIAL" w:hAnsi="ARIAL"/>
          <w:b/>
          <w:sz w:val="22"/>
        </w:rPr>
        <w:t>Executive</w:t>
      </w:r>
      <w:r>
        <w:rPr>
          <w:rFonts w:ascii="ARIAL" w:hAnsi="ARIAL"/>
          <w:sz w:val="22"/>
        </w:rPr>
        <w:t xml:space="preserve">”): (i) an involuntary termination of the Executive’s employment by the Company without Good Cause (as defined in the Severance Plan); or (ii) a voluntary termination of employment for Good Reason (as defined in the Severance Plan). Under the Severance Plan, Good Cause exists if the Executive willfully engages in misconduct in the performance of his or her duties that causes material harm to the Company, engages in an intentional act of fraud, theft, dishonesty or falsification with respect to the Company, intentionally and materially breaches any Company Code of Conduct or policy that applies to Executive or statutory duty that Executive owes to the Company, is convicted of a criminal violation involving fraud, dishonesty or moral turpitude or that otherwise prevents Executive from performing his or her duties with the Company, or refuses to perform Executive’s reasonably assigned duties as an employee (other than a refusal resulting from his or her disability). Generally, Good Reason exists under the Severance Plan if there is a material adverse change in the nature or the scope of the Executive’s authority, duties, rate of pay or incentive or retirement benefits; the Executive is required to report to an officer with a materially lesser position or title, the Company relocates the Executive by 50 miles or more; or the Company materially breaches the provisions of the Severance Plan. However, Good Reason will not exist if the Company’s reduction in benefits under an incentive or retirement plan is applicable to all other plan participants who are senior executives and either (1) the reduction is a result of an extraordinary decline in the Company’s earnings, share price or public image or (2) the reduction is done to bring the plan(s) in line with the compensation programs of comparable companies. </w:t>
      </w:r>
    </w:p>
    <w:p>
      <w:pPr>
        <w:pStyle w:val="TextBody"/>
        <w:bidi w:val="0"/>
        <w:spacing w:before="240" w:after="0"/>
        <w:jc w:val="both"/>
        <w:rPr>
          <w:rFonts w:ascii="ARIAL" w:hAnsi="ARIAL"/>
          <w:sz w:val="22"/>
        </w:rPr>
      </w:pPr>
      <w:r>
        <w:rPr>
          <w:rFonts w:ascii="ARIAL" w:hAnsi="ARIAL"/>
          <w:sz w:val="22"/>
        </w:rPr>
        <w:t xml:space="preserve">For purposes of the Severance Plan, a Change in Control generally means: (i) a person acquires 25% or more of the voting power of the Company’s outstanding securities; (ii) a merger, consolidation or similar transaction that generally involves a change in ownership of at least 50% of the Company’s outstanding voting securities; (iii) a sale of all or substantially all of the Company’s assets that generally involves a change in ownership of at least 50% of the Company’s outstanding voting securities; or (iv) certain changes in the composition of a majority of the Board over a period of two consecutive years or less.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Under the Severance Plan, in the event of a Change in Control, Executives are eligible to receive the following pay and benefits if their employment is terminated by the Company other than for Good Cause or by the Executive for Good Reason, on or within 24 months after a Change in Control: </w:t>
      </w:r>
    </w:p>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70"/>
        <w:gridCol w:w="60"/>
        <w:gridCol w:w="9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both"/>
              <w:rPr>
                <w:rFonts w:ascii="ARIAL" w:hAnsi="ARIAL"/>
                <w:sz w:val="22"/>
              </w:rPr>
            </w:pPr>
            <w:r>
              <w:rPr>
                <w:rFonts w:ascii="ARIAL" w:hAnsi="ARIAL"/>
                <w:sz w:val="22"/>
              </w:rPr>
              <w:t xml:space="preserve">Severance pay equal to two times the sum of their base salary and target annual cash bonus;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A pro rata annual cash bonus for the year of termination, based on attainment of targeted results at a target payout level, as well as payment under any bonus plan that applies to Executive for any completed year for which bonuses have not been paid as of the date of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Full vesting of equity and long-term incentive awards that were granted on or after the Executive’s participation in the Severance Plan, with performance metrics deemed satisfied at target payout level for uncompleted performance periods;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A period of 3 years or the remaining term under an Executive’s option agreement to exercise options that were granted on or after the Executive’s participation in the Severance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Up to 2 years of medical, vision and dental benefits at active employee premium rates which terminate upon eligibility for coverage under certain other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100% vesting of benefits under the Supplemental ESP and the 2008 Plan and payment to Executives of a lump sum equal to the sum of any unvested amounts accrued or credited under qualified defined contribution plans as of the date of termination; and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70"/>
        <w:gridCol w:w="60"/>
        <w:gridCol w:w="40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both"/>
              <w:rPr>
                <w:rFonts w:ascii="ARIAL" w:hAnsi="ARIAL"/>
                <w:sz w:val="22"/>
              </w:rPr>
            </w:pPr>
            <w:r>
              <w:rPr>
                <w:rFonts w:ascii="ARIAL" w:hAnsi="ARIAL"/>
                <w:sz w:val="22"/>
              </w:rPr>
              <w:t xml:space="preserve">Twelve months of outplacement benefits. </w:t>
            </w:r>
          </w:p>
        </w:tc>
      </w:tr>
    </w:tbl>
    <w:p>
      <w:pPr>
        <w:pStyle w:val="TextBody"/>
        <w:bidi w:val="0"/>
        <w:spacing w:before="240" w:after="0"/>
        <w:jc w:val="both"/>
        <w:rPr>
          <w:rFonts w:ascii="ARIAL" w:hAnsi="ARIAL"/>
          <w:sz w:val="22"/>
        </w:rPr>
      </w:pPr>
      <w:r>
        <w:rPr>
          <w:rFonts w:ascii="ARIAL" w:hAnsi="ARIAL"/>
          <w:sz w:val="22"/>
        </w:rPr>
        <w:t xml:space="preserve">To receive benefits under the Severance Plan, participating Executives are required to sign a release of claims, as well as restrictive covenants, including non-competition and non-solicitation covenants for a period of time following termination equal to the number of years of base salary that the Executive receives as severance pay (not to exceed two years). The Company may recover payments previously paid in the event an Executive breaches restrictive covenants. No gross-up payment will be made to cover any excise and related income tax liability arising under Sections 4999 and 280G of the Internal Revenue Code as a result of any payment or benefit arising under the Severance Plan. Instead, the Severance Plan provides for a reduction in amounts payable so that no excise tax would be imposed. However, a reduction in payments will not occur if the payment of the excise tax would produce a greater overall net after-tax benefit. </w:t>
      </w:r>
    </w:p>
    <w:p>
      <w:pPr>
        <w:pStyle w:val="TextBody"/>
        <w:bidi w:val="0"/>
        <w:spacing w:before="240" w:after="0"/>
        <w:jc w:val="left"/>
        <w:rPr>
          <w:rFonts w:ascii="ARIAL" w:hAnsi="ARIAL"/>
          <w:i/>
          <w:sz w:val="22"/>
          <w:u w:val="single"/>
        </w:rPr>
      </w:pPr>
      <w:r>
        <w:rPr>
          <w:rFonts w:ascii="ARIAL" w:hAnsi="ARIAL"/>
          <w:i/>
          <w:sz w:val="22"/>
          <w:u w:val="single"/>
        </w:rPr>
        <w:t xml:space="preserve">2013 Incentive Plan and 2022 Incentive Plan </w:t>
      </w:r>
    </w:p>
    <w:p>
      <w:pPr>
        <w:pStyle w:val="TextBody"/>
        <w:bidi w:val="0"/>
        <w:spacing w:before="240" w:after="0"/>
        <w:jc w:val="both"/>
        <w:rPr>
          <w:rFonts w:ascii="ARIAL" w:hAnsi="ARIAL"/>
          <w:sz w:val="22"/>
        </w:rPr>
      </w:pPr>
      <w:r>
        <w:rPr>
          <w:rFonts w:ascii="ARIAL" w:hAnsi="ARIAL"/>
          <w:sz w:val="22"/>
        </w:rPr>
        <w:t xml:space="preserve">None of the outstanding unvested equity awards held by the named executive officers are “single trigger” that would vest on the occurrence of a change in control of the Company (assuming such awards are assumed and converted into new awards). If any awards under either the 2013 Incentive Plan or the 2022 Incentive Plan are replaced with equivalent equity awards upon a Change in Control, then upon a termination of employment without Good Cause or for Good Reason (as such terms are defined in the relevant plan document) within two years following the Change in Control, all such unvested awards become fully exercisable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and all restrictions applicable to such awards will terminate or lapse. Under the 2013 Incentive Plan and 2022 Incentive Plan, all awards that are not replaced with equivalent equity awards upon a Change in Control become fully exercisable or vested without restriction, and awards that are earned but not paid become immediately payable in cash. These benefits do not require any termination of employment. Under the terms of the RSU agreements held by the named executive officers, PRSUs will be treated in the same manner as TRSUs following a Change in Control of the Company in that an unvested PRSU will have the same value as an unvested TRSU, and any unvested PRSU will either be replaced by a time-based equity award or become immediately vested, in either case assuming a target level of performance for the PRSUs. </w:t>
      </w:r>
    </w:p>
    <w:p>
      <w:pPr>
        <w:pStyle w:val="TextBody"/>
        <w:bidi w:val="0"/>
        <w:spacing w:before="240" w:after="0"/>
        <w:jc w:val="left"/>
        <w:rPr>
          <w:rFonts w:ascii="ARIAL" w:hAnsi="ARIAL"/>
          <w:i/>
          <w:sz w:val="22"/>
          <w:u w:val="single"/>
        </w:rPr>
      </w:pPr>
      <w:r>
        <w:rPr>
          <w:rFonts w:ascii="ARIAL" w:hAnsi="ARIAL"/>
          <w:i/>
          <w:sz w:val="22"/>
          <w:u w:val="single"/>
        </w:rPr>
        <w:t xml:space="preserve">2008 Plan/Supplemental ESP </w:t>
      </w:r>
    </w:p>
    <w:p>
      <w:pPr>
        <w:pStyle w:val="TextBody"/>
        <w:bidi w:val="0"/>
        <w:spacing w:before="240" w:after="0"/>
        <w:jc w:val="both"/>
        <w:rPr>
          <w:rFonts w:ascii="ARIAL" w:hAnsi="ARIAL"/>
          <w:sz w:val="22"/>
        </w:rPr>
      </w:pPr>
      <w:r>
        <w:rPr>
          <w:rFonts w:ascii="ARIAL" w:hAnsi="ARIAL"/>
          <w:sz w:val="22"/>
        </w:rPr>
        <w:t>See the discussion under “</w:t>
      </w:r>
      <w:r>
        <w:rPr>
          <w:rFonts w:ascii="ARIAL" w:hAnsi="ARIAL"/>
          <w:i/>
          <w:sz w:val="22"/>
        </w:rPr>
        <w:t>2025 Nonqualified Deferred Compensation - Deferred Compensation Plans - 2008 Plan</w:t>
      </w:r>
      <w:r>
        <w:rPr>
          <w:rFonts w:ascii="ARIAL" w:hAnsi="ARIAL"/>
          <w:sz w:val="22"/>
        </w:rPr>
        <w:t>” and the discussion under “</w:t>
      </w:r>
      <w:r>
        <w:rPr>
          <w:rFonts w:ascii="ARIAL" w:hAnsi="ARIAL"/>
          <w:i/>
          <w:sz w:val="22"/>
        </w:rPr>
        <w:t>2025 Nonqualified Deferred Compensation - Deferred Compensation Plans - Supplemental ESP</w:t>
      </w:r>
      <w:r>
        <w:rPr>
          <w:rFonts w:ascii="ARIAL" w:hAnsi="ARIAL"/>
          <w:sz w:val="22"/>
        </w:rPr>
        <w:t xml:space="preserve">” for an explanation of the potential treatment of the benefits payable to a named executive officer in connection with a Change in Control. For purposes of the 2008 Plan and Supplemental ESP, a Change in Control is determined by reference to certain provisions of Section 409A of the Code. </w:t>
      </w:r>
    </w:p>
    <w:p>
      <w:pPr>
        <w:pStyle w:val="TextBody"/>
        <w:bidi w:val="0"/>
        <w:spacing w:before="240" w:after="0"/>
        <w:jc w:val="left"/>
        <w:rPr>
          <w:rFonts w:ascii="ARIAL" w:hAnsi="ARIAL"/>
          <w:b/>
          <w:i/>
          <w:color w:val="248EC3"/>
          <w:sz w:val="22"/>
        </w:rPr>
      </w:pPr>
      <w:r>
        <w:rPr>
          <w:rFonts w:ascii="ARIAL" w:hAnsi="ARIAL"/>
          <w:b/>
          <w:i/>
          <w:color w:val="248EC3"/>
          <w:sz w:val="22"/>
        </w:rPr>
        <w:t xml:space="preserve">Termination of Employment-No Change in Control </w:t>
      </w:r>
    </w:p>
    <w:p>
      <w:pPr>
        <w:pStyle w:val="TextBody"/>
        <w:bidi w:val="0"/>
        <w:spacing w:before="240" w:after="0"/>
        <w:jc w:val="left"/>
        <w:rPr>
          <w:rFonts w:ascii="ARIAL" w:hAnsi="ARIAL"/>
          <w:i/>
          <w:sz w:val="22"/>
          <w:u w:val="single"/>
        </w:rPr>
      </w:pPr>
      <w:r>
        <w:rPr>
          <w:rFonts w:ascii="ARIAL" w:hAnsi="ARIAL"/>
          <w:i/>
          <w:sz w:val="22"/>
          <w:u w:val="single"/>
        </w:rPr>
        <w:t xml:space="preserve">Newell Brands Executive Severance Plan </w:t>
      </w:r>
    </w:p>
    <w:p>
      <w:pPr>
        <w:pStyle w:val="TextBody"/>
        <w:bidi w:val="0"/>
        <w:spacing w:before="240" w:after="0"/>
        <w:jc w:val="both"/>
        <w:rPr>
          <w:rFonts w:ascii="ARIAL" w:hAnsi="ARIAL"/>
          <w:sz w:val="22"/>
        </w:rPr>
      </w:pPr>
      <w:r>
        <w:rPr>
          <w:rFonts w:ascii="ARIAL" w:hAnsi="ARIAL"/>
          <w:sz w:val="22"/>
        </w:rPr>
        <w:t xml:space="preserve">As noted above, as of the date of this Proxy Statement, each of the named executive officers participates in the Severance Plan. </w:t>
      </w:r>
    </w:p>
    <w:p>
      <w:pPr>
        <w:pStyle w:val="TextBody"/>
        <w:bidi w:val="0"/>
        <w:spacing w:before="240" w:after="0"/>
        <w:jc w:val="both"/>
        <w:rPr>
          <w:rFonts w:ascii="ARIAL" w:hAnsi="ARIAL"/>
          <w:sz w:val="22"/>
        </w:rPr>
      </w:pPr>
      <w:r>
        <w:rPr>
          <w:rFonts w:ascii="ARIAL" w:hAnsi="ARIAL"/>
          <w:sz w:val="22"/>
        </w:rPr>
        <w:t xml:space="preserve">In the event of termination in the absence of a Change in Control, at any time by the Company other than for Good Cause or by the Executive for Good Reason, as those terms are defined in the Severance Plan, Executives are eligible to receive the following pay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Severance pay equal to two times the sum of the base salary and target annual cash bonus for the CEO and equal to one times the sum of the base salary and target annual cash bonus for non-CEO Executives;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A pro rata annual cash bonus based on actual corporate results for the year of termination and any completed year for which bonuses have not been paid as of the date of termination, subject to adjustments that may be applied generally;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Vesting of a pro-rata portion of time-based equity and long-term incentive awards that were granted on or after the Executive’s participation in the Severance Plan and would have otherwise vested during the three-year period after termination, with settlement in accordance with the original schedule and vesting of performance-based equity and long-term incentive awards subject to the level of achievement of performance goals, in each case subject to any more favorable provisions in an offer letter or grant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Vesting of a pro-rata portion of option awards that were granted on or after the Executive’s participation in the Severance Plan and would have otherwise vested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2"/>
              </w:rPr>
            </w:pPr>
            <w:r>
              <w:rPr>
                <w:rFonts w:ascii="ARIAL" w:hAnsi="ARIAL"/>
                <w:sz w:val="22"/>
              </w:rPr>
              <w:t xml:space="preserve">during the three-year period after termination, and exercisability of vested options for up to one year after the later of termination or vesting, subject to any more favorable provisions in an offer letter or grant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Up to 2 years for the CEO and 1 year for non-CEO Executives of medical and dental benefits at active employee premium rates that terminate upon eligibility for coverage under certain other plans; and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70"/>
        <w:gridCol w:w="60"/>
        <w:gridCol w:w="40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both"/>
              <w:rPr>
                <w:rFonts w:ascii="ARIAL" w:hAnsi="ARIAL"/>
                <w:sz w:val="22"/>
              </w:rPr>
            </w:pPr>
            <w:r>
              <w:rPr>
                <w:rFonts w:ascii="ARIAL" w:hAnsi="ARIAL"/>
                <w:sz w:val="22"/>
              </w:rPr>
              <w:t xml:space="preserve">Twelve months of outplacement benefits. </w:t>
            </w:r>
          </w:p>
        </w:tc>
      </w:tr>
    </w:tbl>
    <w:p>
      <w:pPr>
        <w:pStyle w:val="TextBody"/>
        <w:bidi w:val="0"/>
        <w:spacing w:before="240" w:after="0"/>
        <w:jc w:val="both"/>
        <w:rPr>
          <w:rFonts w:ascii="ARIAL" w:hAnsi="ARIAL"/>
          <w:sz w:val="22"/>
        </w:rPr>
      </w:pPr>
      <w:r>
        <w:rPr>
          <w:rFonts w:ascii="ARIAL" w:hAnsi="ARIAL"/>
          <w:sz w:val="22"/>
        </w:rPr>
        <w:t xml:space="preserve">In order to receive benefits under the Severance Plan, participating Executives are required to sign a release of claims, as well as restrictive covenants, including non-competition and non-solicitation covenants for a period of time following termination equal to the number of years or partial years of base salary that the Executive receives as severance pay (not to exceed two years). The Company may recover payments previously paid in the event an Executive breaches restrictive covenants. </w:t>
      </w:r>
    </w:p>
    <w:p>
      <w:pPr>
        <w:pStyle w:val="TextBody"/>
        <w:bidi w:val="0"/>
        <w:spacing w:before="240" w:after="0"/>
        <w:jc w:val="left"/>
        <w:rPr>
          <w:rFonts w:ascii="ARIAL" w:hAnsi="ARIAL"/>
          <w:i/>
          <w:sz w:val="22"/>
          <w:u w:val="single"/>
        </w:rPr>
      </w:pPr>
      <w:r>
        <w:rPr>
          <w:rFonts w:ascii="ARIAL" w:hAnsi="ARIAL"/>
          <w:i/>
          <w:sz w:val="22"/>
          <w:u w:val="single"/>
        </w:rPr>
        <w:t xml:space="preserve">Mr. Peterson’s CEO Offer Letter </w:t>
      </w:r>
    </w:p>
    <w:p>
      <w:pPr>
        <w:pStyle w:val="TextBody"/>
        <w:bidi w:val="0"/>
        <w:spacing w:before="240" w:after="0"/>
        <w:jc w:val="both"/>
        <w:rPr>
          <w:rFonts w:ascii="ARIAL" w:hAnsi="ARIAL"/>
          <w:sz w:val="22"/>
        </w:rPr>
      </w:pPr>
      <w:r>
        <w:rPr>
          <w:rFonts w:ascii="ARIAL" w:hAnsi="ARIAL"/>
          <w:sz w:val="22"/>
        </w:rPr>
        <w:t>In connection with his appointment as President and CEO as of the Effective Date, Mr. Peterson and the Company entered into an offer letter dated February 9, 2023 (the “</w:t>
      </w:r>
      <w:r>
        <w:rPr>
          <w:rFonts w:ascii="ARIAL" w:hAnsi="ARIAL"/>
          <w:b/>
          <w:sz w:val="22"/>
        </w:rPr>
        <w:t>Peterson CEO Offer Letter</w:t>
      </w:r>
      <w:r>
        <w:rPr>
          <w:rFonts w:ascii="ARIAL" w:hAnsi="ARIAL"/>
          <w:sz w:val="22"/>
        </w:rPr>
        <w:t>”), as filed with the SEC on a Current Report on Form 8-K dated February 10, 2023.</w:t>
      </w:r>
    </w:p>
    <w:p>
      <w:pPr>
        <w:pStyle w:val="TextBody"/>
        <w:bidi w:val="0"/>
        <w:spacing w:before="240" w:after="0"/>
        <w:jc w:val="both"/>
        <w:rPr>
          <w:rFonts w:ascii="ARIAL" w:hAnsi="ARIAL"/>
          <w:sz w:val="22"/>
        </w:rPr>
      </w:pPr>
      <w:r>
        <w:rPr>
          <w:rFonts w:ascii="ARIAL" w:hAnsi="ARIAL"/>
          <w:sz w:val="22"/>
        </w:rPr>
        <w:t xml:space="preserve">As specified in the Peterson CEO Offer Letter, Mr. Peterson participates in the Severance Plan (provided, however, that any subsequent amendment to the Severance Plan shall be null and void with respect to Mr. Peterson if it reduces compensation and benefits under the Severance Plan compared to the compensation and benefits available under the Severance Plan on the date of the offer letter). </w:t>
      </w:r>
    </w:p>
    <w:p>
      <w:pPr>
        <w:pStyle w:val="TextBody"/>
        <w:bidi w:val="0"/>
        <w:spacing w:before="240" w:after="0"/>
        <w:jc w:val="both"/>
        <w:rPr>
          <w:rFonts w:ascii="ARIAL" w:hAnsi="ARIAL"/>
          <w:sz w:val="22"/>
        </w:rPr>
      </w:pPr>
      <w:r>
        <w:rPr>
          <w:rFonts w:ascii="ARIAL" w:hAnsi="ARIAL"/>
          <w:sz w:val="22"/>
        </w:rPr>
        <w:t xml:space="preserve">In addition, the Peterson CEO Offer Letter provides that Mr. Peterson’s equity-based awards granted by the Company after the date of the Peterson CEO Offer Letter will provide for the following benefits should he elect to retire under the Company’s retirement criteria then in effect (i.e., attainment of age 60, or age 55 with 10 years of service) or otherwise be involuntarily terminated (other than a termination by the Company for Good Cause, as defined in the Severance Plan): (i) continued vesting of all outstanding RSUs and stock options without regard to any requirement for continuous employment, but subject to any applicable performance criteria, and (ii) survival of any stock option awards for a period of five years following the later of the date of termination or vesting date, not to exceed the remaining term of the option. Furthermore, in the event of a retirement contemplated above, he will also be entitled to receive his management bonus for the fiscal year in which the retirement occurs, prorated by a fraction, the numerator of which is the number of days in the fiscal year in which the termination occurs through the date of termination and the denominator of which is three hundred sixty-five (365). This partial bonus payment will not be subject to any individual performance modifier but will be paid out on the basis of actual corporate performance levels and will be subject to any adjustments or modifiers based on the Company’s performance under the terms of the Bonus Plan. This partial bonus will be paid at the same time as management bonuses are paid to active Company employees. Mr. Peterson will be required to execute a separation agreement and general release in order to receive such retirement or termination benefits.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u w:val="single"/>
        </w:rPr>
      </w:pPr>
      <w:r>
        <w:rPr>
          <w:rFonts w:ascii="ARIAL" w:hAnsi="ARIAL"/>
          <w:i/>
          <w:sz w:val="22"/>
          <w:u w:val="single"/>
        </w:rPr>
        <w:t xml:space="preserve">Ms. Platt’s Offer Letter </w:t>
      </w:r>
    </w:p>
    <w:p>
      <w:pPr>
        <w:pStyle w:val="TextBody"/>
        <w:bidi w:val="0"/>
        <w:spacing w:before="240" w:after="0"/>
        <w:jc w:val="both"/>
        <w:rPr>
          <w:rFonts w:ascii="ARIAL" w:hAnsi="ARIAL"/>
          <w:sz w:val="22"/>
        </w:rPr>
      </w:pPr>
      <w:r>
        <w:rPr>
          <w:rFonts w:ascii="ARIAL" w:hAnsi="ARIAL"/>
          <w:sz w:val="22"/>
        </w:rPr>
        <w:t>Ms. Platt’s employment letter provides that if her employment is terminated by the Company without Good Cause or voluntarily by Ms. Platt for Good Reason (as such terms are defined in the 2022 Incentive Plan) within the first three years of her employment, any unvested TRSUs and PRSUs provided as part of her initial award of 199,634 RSUs (the “</w:t>
      </w:r>
      <w:r>
        <w:rPr>
          <w:rFonts w:ascii="ARIAL" w:hAnsi="ARIAL"/>
          <w:b/>
          <w:sz w:val="22"/>
        </w:rPr>
        <w:t>Employment Transition Award</w:t>
      </w:r>
      <w:r>
        <w:rPr>
          <w:rFonts w:ascii="ARIAL" w:hAnsi="ARIAL"/>
          <w:sz w:val="22"/>
        </w:rPr>
        <w:t xml:space="preserve">”) shall remain outstanding until the vesting date specified in the applicable award agreement, at which time such RSUs will vest and be settled as provided in the applicable award agreement (without regard to any requirements regarding continuous employment with the Company or an affiliate, but subject to any applicable performance criteria). </w:t>
      </w:r>
    </w:p>
    <w:p>
      <w:pPr>
        <w:pStyle w:val="TextBody"/>
        <w:bidi w:val="0"/>
        <w:spacing w:before="240" w:after="0"/>
        <w:jc w:val="left"/>
        <w:rPr>
          <w:rFonts w:ascii="ARIAL" w:hAnsi="ARIAL"/>
          <w:i/>
          <w:sz w:val="22"/>
          <w:u w:val="single"/>
        </w:rPr>
      </w:pPr>
      <w:r>
        <w:rPr>
          <w:rFonts w:ascii="ARIAL" w:hAnsi="ARIAL"/>
          <w:i/>
          <w:sz w:val="22"/>
          <w:u w:val="single"/>
        </w:rPr>
        <w:t xml:space="preserve">2013 Incentive Plan and 2022 Incentive Plan </w:t>
      </w:r>
    </w:p>
    <w:p>
      <w:pPr>
        <w:pStyle w:val="TextBody"/>
        <w:bidi w:val="0"/>
        <w:spacing w:before="240" w:after="0"/>
        <w:jc w:val="both"/>
        <w:rPr>
          <w:rFonts w:ascii="ARIAL" w:hAnsi="ARIAL"/>
          <w:sz w:val="22"/>
        </w:rPr>
      </w:pPr>
      <w:r>
        <w:rPr>
          <w:rFonts w:ascii="ARIAL" w:hAnsi="ARIAL"/>
          <w:sz w:val="22"/>
        </w:rPr>
        <w:t xml:space="preserve">The following applies to stock options and RSUs, under the 2013 Incentive Plan and 2022 Incentive Plan, that are outstanding on December 31, 2025 and held by the named executive officers, upon termination of employment, including termination due to retirement, death or disability. For these purposes, “retirement” is defined as a voluntary or involuntary termination of employment after the grantee has either attained the age of sixty or attained age fifty-five with ten or more years of credited service, other than a termination due to death or disability or an involuntary termination for cause (as defined therein) or, for certain awards to Mr. Peterson, Good Cause (as defined in the Severance Plan). </w:t>
      </w:r>
    </w:p>
    <w:p>
      <w:pPr>
        <w:pStyle w:val="TextBody"/>
        <w:bidi w:val="0"/>
        <w:spacing w:before="240" w:after="0"/>
        <w:jc w:val="both"/>
        <w:rPr>
          <w:rFonts w:ascii="ARIAL" w:hAnsi="ARIAL"/>
          <w:sz w:val="22"/>
        </w:rPr>
      </w:pPr>
      <w:r>
        <w:rPr>
          <w:rFonts w:ascii="ARIAL" w:hAnsi="ARIAL"/>
          <w:b/>
          <w:i/>
          <w:sz w:val="22"/>
        </w:rPr>
        <w:t>Stock Options</w:t>
      </w:r>
      <w:r>
        <w:rPr>
          <w:rFonts w:ascii="ARIAL" w:hAnsi="ARIAL"/>
          <w:sz w:val="22"/>
        </w:rPr>
        <w:t xml:space="preserve">. If an individual’s employment terminates for any reason other than death, disability or retirement, then all of his or her options generally expire on, and cannot be exercised after, the date of his or her termination; provided that (i) under stock options granted through the end of 2020, if such a termination of employment occurs while the grantee is restricted from trading the Company’s common stock, then the stock option shall expire 60 days after the close of such restricted period; (ii) stock options granted in 2021 will expire on, and cannot be exercised after, the date that is 90 days after the date of such termination of employment; and (iii) stock options granted after 2021 expire on, and cannot be exercised after, the date that is 90 days after the date of such termination of employment; provided that if the option would otherwise expire while the grantee is restricted from trading the Company’s common stock, then the portion of the stock option vested as of such termination date shall instead expire 60 days after the close of such restricted period. If the grantee’s employment is terminated due to death, disability or retirement, all outstanding options will continue to vest (without regard to any continuous employment requirements but subject to any performance conditions) and be exercisable for a period of (A) three years following the later of the date of vesting or termination of employment (or until the expiration of the term of the option, if earlier), pursuant to stock option awards granted through the end of 2021, or (B) five years following the termination of employment (or until the expiration of the term of the option, if earlier), pursuant to stock option awards granted after 2021. </w:t>
      </w:r>
    </w:p>
    <w:p>
      <w:pPr>
        <w:pStyle w:val="TextBody"/>
        <w:bidi w:val="0"/>
        <w:spacing w:before="240" w:after="0"/>
        <w:jc w:val="both"/>
        <w:rPr>
          <w:rFonts w:ascii="ARIAL" w:hAnsi="ARIAL"/>
          <w:sz w:val="22"/>
        </w:rPr>
      </w:pPr>
      <w:r>
        <w:rPr>
          <w:rFonts w:ascii="ARIAL" w:hAnsi="ARIAL"/>
          <w:b/>
          <w:i/>
          <w:sz w:val="22"/>
        </w:rPr>
        <w:t>Restricted Stock Units (RSUs)</w:t>
      </w:r>
      <w:r>
        <w:rPr>
          <w:rFonts w:ascii="ARIAL" w:hAnsi="ARIAL"/>
          <w:sz w:val="22"/>
        </w:rPr>
        <w:t xml:space="preserve">. In general, under all outstanding RSU agreements, if a named executive officer’s employment terminates for any reason other than death, disability or retirement, then all of his or her RSUs are forfeited on the date of such termination. If a named executive officer’s employment terminates due to death or disability, then all restrictions lapse, and all RSUs fully vest at target payout levels, on the date of his or her termination.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In accordance with the Peterson CEO Offer Letter, if Mr. Peterson’s employment is terminated prior to a vesting date due to retirement or if he is involuntarily terminated by the Company other than for Good Cause (as defined in the Severance Plan), death or disability, any unvested RSUs granted to Mr. Peterson after 2022 will continue to vest in full and will be paid out in accordance with the original vesting and payment schedule, subject to the level of achievement of any applicable performance criteria. With respect to all other outstanding RSUs issued to named executive officers, if the individual’s employment terminates due to retirement, any unvested TRSUs and PRSUs granted more than 12 months prior to the date of retirement will be pro-rated by dividing the full number of months worked since the grant date by the full number of months in the applicable vesting period; provided that PRSUs will not be pro-rated (and will vest in full subject to the achievement of the applicable performance criteria) if the executive retires at age 60 or later. The pro-rated awards (or full PRSUs for retirees over 60) will continue to vest and will be paid out in accordance with the original vesting and payment schedule, subject to the level of achievement of any applicable performance criteria. Except in the case of awards granted after 2022 to Mr. Peterson, any RSUs granted less than 12 months from the date of retirement will be forfeited under these retirement provisions. </w:t>
      </w:r>
    </w:p>
    <w:p>
      <w:pPr>
        <w:pStyle w:val="TextBody"/>
        <w:bidi w:val="0"/>
        <w:spacing w:before="240" w:after="0"/>
        <w:jc w:val="both"/>
        <w:rPr>
          <w:rFonts w:ascii="ARIAL" w:hAnsi="ARIAL"/>
          <w:sz w:val="22"/>
        </w:rPr>
      </w:pPr>
      <w:r>
        <w:rPr>
          <w:rFonts w:ascii="ARIAL" w:hAnsi="ARIAL"/>
          <w:b/>
          <w:i/>
          <w:sz w:val="22"/>
        </w:rPr>
        <w:t>Additional Provisions</w:t>
      </w:r>
      <w:r>
        <w:rPr>
          <w:rFonts w:ascii="ARIAL" w:hAnsi="ARIAL"/>
          <w:sz w:val="22"/>
        </w:rPr>
        <w:t xml:space="preserve">. All outstanding RSU and stock option agreements for the named executive officers include confidentiality, non-solicitation, non-competition and non-disparagement obligations. Further, for certain events, including in the event of termination of the executive’s employment by the Company without Good Cause or termination by an employee for Good Reason (as such terms are defined in the 2013 Incentive Plan or 2022 Incentive Plan, as applicable), the Board or the Committee has the discretion to accelerate the date as of which any stock option may become exercisable or to accelerate the date as of which the restrictions will lapse with respect to RSUs or other awards. Additional provisions described in this Proxy Statement may apply to the treatment of RSUs or stock options upon termination of a named executive officer’s employment under the terms of the named executive officer’s employment offer or pursuant to the Severance Plan, as applicable. </w:t>
      </w:r>
    </w:p>
    <w:p>
      <w:pPr>
        <w:pStyle w:val="TextBody"/>
        <w:bidi w:val="0"/>
        <w:spacing w:before="240" w:after="0"/>
        <w:jc w:val="left"/>
        <w:rPr>
          <w:rFonts w:ascii="ARIAL" w:hAnsi="ARIAL"/>
          <w:i/>
          <w:sz w:val="22"/>
          <w:u w:val="single"/>
        </w:rPr>
      </w:pPr>
      <w:r>
        <w:rPr>
          <w:rFonts w:ascii="ARIAL" w:hAnsi="ARIAL"/>
          <w:i/>
          <w:sz w:val="22"/>
          <w:u w:val="single"/>
        </w:rPr>
        <w:t xml:space="preserve">2008 Plan/Supplemental ESP </w:t>
      </w:r>
    </w:p>
    <w:p>
      <w:pPr>
        <w:pStyle w:val="TextBody"/>
        <w:bidi w:val="0"/>
        <w:spacing w:before="240" w:after="0"/>
        <w:jc w:val="both"/>
        <w:rPr>
          <w:rFonts w:ascii="ARIAL" w:hAnsi="ARIAL"/>
          <w:sz w:val="22"/>
        </w:rPr>
      </w:pPr>
      <w:r>
        <w:rPr>
          <w:rFonts w:ascii="ARIAL" w:hAnsi="ARIAL"/>
          <w:sz w:val="22"/>
        </w:rPr>
        <w:t>Mr. Turner is fully vested in his Cash Account balance, and all participating named executive officers are fully vested in their Supplemental ESP accounts. Under each of the 2008 Plan and Supplemental ESP, assuming a termination of employment on December 31, 2025, each named executive officer would be entitled to the entire balance of his or her 2008 Plan Cash Account and Supplemental ESP account, as applicable, as reported in the “</w:t>
      </w:r>
      <w:r>
        <w:rPr>
          <w:rFonts w:ascii="ARIAL" w:hAnsi="ARIAL"/>
          <w:i/>
          <w:sz w:val="22"/>
        </w:rPr>
        <w:t>Aggregate Balance at Last FYE</w:t>
      </w:r>
      <w:r>
        <w:rPr>
          <w:rFonts w:ascii="ARIAL" w:hAnsi="ARIAL"/>
          <w:sz w:val="22"/>
        </w:rPr>
        <w:t>” column of the “</w:t>
      </w:r>
      <w:r>
        <w:rPr>
          <w:rFonts w:ascii="ARIAL" w:hAnsi="ARIAL"/>
          <w:i/>
          <w:sz w:val="22"/>
        </w:rPr>
        <w:t>2025 Nonqualified Deferred Compensation</w:t>
      </w:r>
      <w:r>
        <w:rPr>
          <w:rFonts w:ascii="ARIAL" w:hAnsi="ARIAL"/>
          <w:sz w:val="22"/>
        </w:rPr>
        <w:t>” table. See the discussion under “</w:t>
      </w:r>
      <w:r>
        <w:rPr>
          <w:rFonts w:ascii="ARIAL" w:hAnsi="ARIAL"/>
          <w:i/>
          <w:sz w:val="22"/>
        </w:rPr>
        <w:t>2025 Nonqualified Deferred Compensation - Deferred Compensation Plans - 2008 Plan</w:t>
      </w:r>
      <w:r>
        <w:rPr>
          <w:rFonts w:ascii="ARIAL" w:hAnsi="ARIAL"/>
          <w:sz w:val="22"/>
        </w:rPr>
        <w:t>” and “</w:t>
      </w:r>
      <w:r>
        <w:rPr>
          <w:rFonts w:ascii="ARIAL" w:hAnsi="ARIAL"/>
          <w:i/>
          <w:sz w:val="22"/>
        </w:rPr>
        <w:t>2025 Nonqualified Deferred Compensation - Deferred Compensation Plans - Supplemental ESP</w:t>
      </w:r>
      <w:r>
        <w:rPr>
          <w:rFonts w:ascii="ARIAL" w:hAnsi="ARIAL"/>
          <w:sz w:val="22"/>
        </w:rPr>
        <w:t xml:space="preserve">” for an explanation of benefits payable to a named executive officer upon his or her termination of employment. </w:t>
      </w:r>
    </w:p>
    <w:p>
      <w:pPr>
        <w:pStyle w:val="TextBody"/>
        <w:bidi w:val="0"/>
        <w:spacing w:before="480" w:after="0"/>
        <w:jc w:val="center"/>
        <w:rPr>
          <w:rFonts w:ascii="ARIAL" w:hAnsi="ARIAL"/>
          <w:b/>
          <w:sz w:val="22"/>
          <w:u w:val="single"/>
        </w:rPr>
      </w:pPr>
      <w:r>
        <w:rPr>
          <w:rFonts w:ascii="ARIAL" w:hAnsi="ARIAL"/>
          <w:b/>
          <w:sz w:val="22"/>
          <w:u w:val="single"/>
        </w:rPr>
        <w:t xml:space="preserve">Potential Payments upon Termination or Change in Control </w:t>
      </w:r>
    </w:p>
    <w:p>
      <w:pPr>
        <w:pStyle w:val="TextBody"/>
        <w:bidi w:val="0"/>
        <w:spacing w:before="240" w:after="0"/>
        <w:jc w:val="both"/>
        <w:rPr>
          <w:rFonts w:ascii="ARIAL" w:hAnsi="ARIAL"/>
          <w:sz w:val="22"/>
        </w:rPr>
      </w:pPr>
      <w:r>
        <w:rPr>
          <w:rFonts w:ascii="ARIAL" w:hAnsi="ARIAL"/>
          <w:sz w:val="22"/>
        </w:rPr>
        <w:t xml:space="preserve">The amounts set forth in the table below would be payable to or for each named executive officer, assuming no Change in Control (as defined in the applicable agreement or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plan document) of the Company, if the named executive’s officer’s employment were terminated on December 31, 2025 on account of death or disability or due to a qualifying termination. The table below also quantifies the additional compensation and benefit amounts that would be payable to each named executive officer upon a qualifying termination within 24 months after a Change in Control (as described above) if such events occurred as of December 31, 2025. A qualifying termination consists of involuntary termination without “Good Cause” or voluntary termination by the executive for “Good Reason,” as defined by the Severance Plan or other applicable plan or agreement. </w:t>
      </w:r>
    </w:p>
    <w:p>
      <w:pPr>
        <w:pStyle w:val="TextBody"/>
        <w:bidi w:val="0"/>
        <w:spacing w:before="240" w:after="0"/>
        <w:jc w:val="both"/>
        <w:rPr>
          <w:rFonts w:ascii="ARIAL" w:hAnsi="ARIAL"/>
          <w:sz w:val="22"/>
        </w:rPr>
      </w:pPr>
      <w:r>
        <w:rPr>
          <w:rFonts w:ascii="ARIAL" w:hAnsi="ARIAL"/>
          <w:sz w:val="22"/>
        </w:rPr>
        <w:t>The compensation included is only that which would have been payable as a result of the applicable triggering event. The table below excludes the value of the amounts payable under deferred compensation plans that are disclosed in the “</w:t>
      </w:r>
      <w:r>
        <w:rPr>
          <w:rFonts w:ascii="ARIAL" w:hAnsi="ARIAL"/>
          <w:i/>
          <w:sz w:val="22"/>
        </w:rPr>
        <w:t>2025 Nonqualified Deferred Compensation</w:t>
      </w:r>
      <w:r>
        <w:rPr>
          <w:rFonts w:ascii="ARIAL" w:hAnsi="ARIAL"/>
          <w:sz w:val="22"/>
        </w:rPr>
        <w:t xml:space="preserve">” table on page 59. </w:t>
      </w:r>
    </w:p>
    <w:p>
      <w:pPr>
        <w:pStyle w:val="TextBody"/>
        <w:bidi w:val="0"/>
        <w:spacing w:before="0" w:after="0"/>
        <w:jc w:val="left"/>
        <w:rPr/>
      </w:pPr>
      <w:r>
        <w:rPr/>
        <w:t> </w:t>
      </w:r>
    </w:p>
    <w:tbl>
      <w:tblPr>
        <w:tblW w:w="9774" w:type="dxa"/>
        <w:jc w:val="left"/>
        <w:tblInd w:w="0" w:type="dxa"/>
        <w:tblLayout w:type="fixed"/>
        <w:tblCellMar>
          <w:top w:w="0" w:type="dxa"/>
          <w:left w:w="0" w:type="dxa"/>
          <w:bottom w:w="0" w:type="dxa"/>
          <w:right w:w="0" w:type="dxa"/>
        </w:tblCellMar>
      </w:tblPr>
      <w:tblGrid>
        <w:gridCol w:w="1460"/>
        <w:gridCol w:w="60"/>
        <w:gridCol w:w="3785"/>
        <w:gridCol w:w="60"/>
        <w:gridCol w:w="67"/>
        <w:gridCol w:w="1243"/>
        <w:gridCol w:w="60"/>
        <w:gridCol w:w="60"/>
        <w:gridCol w:w="66"/>
        <w:gridCol w:w="1229"/>
        <w:gridCol w:w="60"/>
        <w:gridCol w:w="60"/>
        <w:gridCol w:w="76"/>
        <w:gridCol w:w="1413"/>
        <w:gridCol w:w="75"/>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000000"/>
            </w:tcBorders>
            <w:tcMar>
              <w:bottom w:w="28" w:type="dxa"/>
            </w:tcMar>
            <w:vAlign w:val="center"/>
          </w:tcPr>
          <w:p>
            <w:pPr>
              <w:pStyle w:val="TableContents"/>
              <w:bidi w:val="0"/>
              <w:spacing w:before="0" w:after="283"/>
              <w:jc w:val="left"/>
              <w:rPr/>
            </w:pPr>
            <w:r>
              <w:rPr/>
              <w:t> </w:t>
            </w:r>
            <w:r>
              <w:rPr>
                <w:b/>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85" w:type="dxa"/>
            <w:tcBorders>
              <w:bottom w:val="single" w:sz="6" w:space="0" w:color="000000"/>
            </w:tcBorders>
            <w:tcMar>
              <w:bottom w:w="28" w:type="dxa"/>
            </w:tcMar>
            <w:vAlign w:val="center"/>
          </w:tcPr>
          <w:p>
            <w:pPr>
              <w:pStyle w:val="TableContents"/>
              <w:bidi w:val="0"/>
              <w:spacing w:before="0" w:after="283"/>
              <w:jc w:val="center"/>
              <w:rPr>
                <w:b/>
              </w:rPr>
            </w:pPr>
            <w:r>
              <w:rPr>
                <w:b/>
              </w:rPr>
              <w:t>Benefit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Death or</w:t>
              <w:br/>
              <w:t>Disability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5" w:type="dxa"/>
            <w:gridSpan w:val="2"/>
            <w:tcBorders>
              <w:bottom w:val="single" w:sz="6" w:space="0" w:color="000000"/>
            </w:tcBorders>
            <w:tcMar>
              <w:bottom w:w="28" w:type="dxa"/>
            </w:tcMar>
            <w:vAlign w:val="center"/>
          </w:tcPr>
          <w:p>
            <w:pPr>
              <w:pStyle w:val="TableContents"/>
              <w:bidi w:val="0"/>
              <w:spacing w:before="0" w:after="283"/>
              <w:jc w:val="center"/>
              <w:rPr>
                <w:b/>
              </w:rPr>
            </w:pPr>
            <w:r>
              <w:rPr>
                <w:b/>
              </w:rPr>
              <w:t>Qualifying</w:t>
              <w:br/>
              <w:t>Termination</w:t>
              <w:br/>
              <w:t>- No Change</w:t>
              <w:br/>
              <w:t>in Control</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89" w:type="dxa"/>
            <w:gridSpan w:val="2"/>
            <w:tcBorders>
              <w:bottom w:val="single" w:sz="6" w:space="0" w:color="000000"/>
            </w:tcBorders>
            <w:tcMar>
              <w:bottom w:w="28" w:type="dxa"/>
            </w:tcMar>
            <w:vAlign w:val="center"/>
          </w:tcPr>
          <w:p>
            <w:pPr>
              <w:pStyle w:val="TableContents"/>
              <w:bidi w:val="0"/>
              <w:spacing w:before="0" w:after="283"/>
              <w:jc w:val="center"/>
              <w:rPr>
                <w:b/>
              </w:rPr>
            </w:pPr>
            <w:r>
              <w:rPr>
                <w:b/>
              </w:rPr>
              <w:t>Qualifying  </w:t>
              <w:br/>
              <w:t>Termination  </w:t>
              <w:br/>
              <w:t>within 24  </w:t>
              <w:br/>
              <w:t>Months of  </w:t>
              <w:br/>
              <w:t>Change in  </w:t>
              <w:br/>
              <w:t>Control ($)  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8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 w:type="dxa"/>
            <w:tcBorders>
              <w:bottom w:val="single" w:sz="6" w:space="0" w:color="000000"/>
            </w:tcBorders>
            <w:tcMar>
              <w:bottom w:w="28" w:type="dxa"/>
            </w:tcMar>
            <w:vAlign w:val="center"/>
          </w:tcPr>
          <w:p>
            <w:pPr>
              <w:pStyle w:val="TableContents"/>
              <w:bidi w:val="0"/>
              <w:spacing w:before="0" w:after="283"/>
              <w:jc w:val="left"/>
              <w:rPr/>
            </w:pPr>
            <w:r>
              <w:rPr/>
              <w:t> </w:t>
            </w:r>
          </w:p>
        </w:tc>
        <w:tc>
          <w:tcPr>
            <w:tcW w:w="1243"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6" w:type="dxa"/>
            <w:tcBorders>
              <w:bottom w:val="single" w:sz="6" w:space="0" w:color="000000"/>
            </w:tcBorders>
            <w:tcMar>
              <w:bottom w:w="28" w:type="dxa"/>
            </w:tcMar>
            <w:vAlign w:val="center"/>
          </w:tcPr>
          <w:p>
            <w:pPr>
              <w:pStyle w:val="TableContents"/>
              <w:bidi w:val="0"/>
              <w:spacing w:before="0" w:after="283"/>
              <w:jc w:val="left"/>
              <w:rPr/>
            </w:pPr>
            <w:r>
              <w:rPr/>
              <w:t> </w:t>
            </w:r>
          </w:p>
        </w:tc>
        <w:tc>
          <w:tcPr>
            <w:tcW w:w="1229"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c>
          <w:tcPr>
            <w:tcW w:w="1413"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0"/>
              <w:jc w:val="left"/>
              <w:rPr/>
            </w:pPr>
            <w:r>
              <w:rPr/>
              <w:t> </w:t>
            </w:r>
            <w:r>
              <w:rPr>
                <w:rFonts w:ascii="ARIAL" w:hAnsi="ARIAL"/>
                <w:sz w:val="18"/>
              </w:rPr>
              <w:t>Christopher H.</w:t>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Severance Payment(1)(2)</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7,425,000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7,425,000  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0"/>
              <w:jc w:val="left"/>
              <w:rPr/>
            </w:pPr>
            <w:r>
              <w:rPr/>
              <w:t> </w:t>
            </w:r>
            <w:r>
              <w:rPr>
                <w:rFonts w:ascii="ARIAL" w:hAnsi="ARIAL"/>
                <w:sz w:val="18"/>
              </w:rPr>
              <w:t>Peterson</w:t>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Pro rata Bonus Payment(3)(4)</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1,878,333</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1,878,333</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2,362,500  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Value of Unvested RSUs/Options(5)(6)</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15,884,969</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15,884,969</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15,884,969  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Health &amp; Welfare Benefits(7)(8)</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25,743</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25,743  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Outplacement(9)</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30,000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30,000  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b/>
              </w:rPr>
            </w:pPr>
            <w:r>
              <w:rPr>
                <w:b/>
              </w:rPr>
              <w:t>Total Estimated Value(10)</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b/>
              </w:rPr>
            </w:pPr>
            <w:r>
              <w:rPr>
                <w:b/>
              </w:rPr>
              <w:t>17,763,302</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b/>
              </w:rPr>
            </w:pPr>
            <w:r>
              <w:rPr>
                <w:b/>
              </w:rPr>
              <w:t>25,244,045</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b/>
              </w:rPr>
            </w:pPr>
            <w:r>
              <w:rPr>
                <w:b/>
              </w:rPr>
              <w:t>25,728,212  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pPr>
            <w:r>
              <w:rPr/>
              <w:t> </w:t>
            </w:r>
            <w:r>
              <w:rPr>
                <w:rFonts w:ascii="ARIAL" w:hAnsi="ARIAL"/>
                <w:sz w:val="18"/>
              </w:rPr>
              <w:t>Mark J. Erceg</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Severance Payment(1)(2)</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pPr>
            <w:r>
              <w:rPr/>
              <w:t>1,815,000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pPr>
            <w:r>
              <w:rPr/>
              <w:t>3,630,000  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Pro rata Bonus Payment(3)(4)</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pPr>
            <w:r>
              <w:rPr/>
              <w:t>788,000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pPr>
            <w:r>
              <w:rPr/>
              <w:t>788,000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pPr>
            <w:r>
              <w:rPr/>
              <w:t>990,000  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Value of Unvested RSUs/Options(5)(6)</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pPr>
            <w:r>
              <w:rPr/>
              <w:t>7,199,130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pPr>
            <w:r>
              <w:rPr/>
              <w:t>5,321,133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pPr>
            <w:r>
              <w:rPr/>
              <w:t>7,199,130  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Health &amp; Welfare Benefits(7)(8)</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pPr>
            <w:r>
              <w:rPr/>
              <w:t>14,713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pPr>
            <w:r>
              <w:rPr/>
              <w:t>29,427  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Outplacement(9)</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pPr>
            <w:r>
              <w:rPr/>
              <w:t>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pPr>
            <w:r>
              <w:rPr/>
              <w:t>30,000  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b/>
              </w:rPr>
            </w:pPr>
            <w:r>
              <w:rPr>
                <w:b/>
              </w:rPr>
              <w:t>Total Estimated Value(10)</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b/>
              </w:rPr>
            </w:pPr>
            <w:r>
              <w:rPr>
                <w:b/>
              </w:rPr>
              <w:t>7,987,130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b/>
              </w:rPr>
            </w:pPr>
            <w:r>
              <w:rPr>
                <w:b/>
              </w:rPr>
              <w:t>7,968,846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b/>
              </w:rPr>
            </w:pPr>
            <w:r>
              <w:rPr>
                <w:b/>
              </w:rPr>
              <w:t>11,878,557  </w:t>
            </w:r>
          </w:p>
        </w:tc>
        <w:tc>
          <w:tcPr>
            <w:tcW w:w="75" w:type="dxa"/>
            <w:tcBorders/>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0"/>
              <w:jc w:val="left"/>
              <w:rPr/>
            </w:pPr>
            <w:r>
              <w:rPr/>
              <w:t> </w:t>
            </w:r>
            <w:r>
              <w:rPr>
                <w:rFonts w:ascii="ARIAL" w:hAnsi="ARIAL"/>
                <w:sz w:val="18"/>
              </w:rPr>
              <w:t>Bradford R.</w:t>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Severance Payment(1)(2)</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1,537,500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3,075,000  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0"/>
              <w:jc w:val="left"/>
              <w:rPr/>
            </w:pPr>
            <w:r>
              <w:rPr/>
              <w:t> </w:t>
            </w:r>
            <w:r>
              <w:rPr>
                <w:rFonts w:ascii="ARIAL" w:hAnsi="ARIAL"/>
                <w:sz w:val="18"/>
              </w:rPr>
              <w:t>Turner</w:t>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Pro rata Bonus Payment(3)(4)</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626,500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626,500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787,500  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Value of Unvested RSUs/Options(5)(6)</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2,569,051</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1,641,651</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2,569,051  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Health &amp; Welfare Benefits(7)(8)</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16,194</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32,388  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Outplacement(9)</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30,000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30,000  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b/>
              </w:rPr>
            </w:pPr>
            <w:r>
              <w:rPr>
                <w:b/>
              </w:rPr>
              <w:t>Total Estimated Value(10)</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b/>
              </w:rPr>
            </w:pPr>
            <w:r>
              <w:rPr>
                <w:b/>
              </w:rPr>
              <w:t>3,195,551</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b/>
              </w:rPr>
            </w:pPr>
            <w:r>
              <w:rPr>
                <w:b/>
              </w:rPr>
              <w:t>3,851,845</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b/>
              </w:rPr>
            </w:pPr>
            <w:r>
              <w:rPr>
                <w:b/>
              </w:rPr>
              <w:t>6,493,939  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pPr>
            <w:r>
              <w:rPr/>
              <w:t> </w:t>
            </w:r>
            <w:r>
              <w:rPr>
                <w:rFonts w:ascii="ARIAL" w:hAnsi="ARIAL"/>
                <w:sz w:val="18"/>
              </w:rPr>
              <w:t>Tracy L. Platt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Severance Payment(1)(2)</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pPr>
            <w:r>
              <w:rPr/>
              <w:t>1,387,000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pPr>
            <w:r>
              <w:rPr/>
              <w:t>2,774,000  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Pro rata Bonus Payment(3)(4)</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pPr>
            <w:r>
              <w:rPr/>
              <w:t>522,000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pPr>
            <w:r>
              <w:rPr/>
              <w:t>522,000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pPr>
            <w:r>
              <w:rPr/>
              <w:t>657,000  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Value of Unvested RSUs/Options(5)(6)</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pPr>
            <w:r>
              <w:rPr/>
              <w:t>2,103,002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pPr>
            <w:r>
              <w:rPr/>
              <w:t>1,340,097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pPr>
            <w:r>
              <w:rPr/>
              <w:t>2,103,002  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Health &amp; Welfare Benefits(7)(8)</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pPr>
            <w:r>
              <w:rPr/>
              <w:t>16,798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pPr>
            <w:r>
              <w:rPr/>
              <w:t>33,596  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Outplacement(9)</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pPr>
            <w:r>
              <w:rPr/>
              <w:t>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pPr>
            <w:r>
              <w:rPr/>
              <w:t>30,000  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84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b/>
              </w:rPr>
            </w:pPr>
            <w:r>
              <w:rPr>
                <w:b/>
              </w:rPr>
              <w:t>Total Estimated Value(10)</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center"/>
              <w:rPr>
                <w:b/>
              </w:rPr>
            </w:pPr>
            <w:r>
              <w:rPr>
                <w:b/>
              </w:rPr>
              <w:t>2,625,002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center"/>
              <w:rPr>
                <w:b/>
              </w:rPr>
            </w:pPr>
            <w:r>
              <w:rPr>
                <w:b/>
              </w:rPr>
              <w:t>3,295,895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center"/>
              <w:rPr>
                <w:b/>
              </w:rPr>
            </w:pPr>
            <w:r>
              <w:rPr>
                <w:b/>
              </w:rPr>
              <w:t>5,597,598  </w:t>
            </w:r>
          </w:p>
        </w:tc>
        <w:tc>
          <w:tcPr>
            <w:tcW w:w="75" w:type="dxa"/>
            <w:tcBorders/>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0"/>
              <w:jc w:val="left"/>
              <w:rPr/>
            </w:pPr>
            <w:r>
              <w:rPr/>
              <w:t> </w:t>
            </w:r>
            <w:r>
              <w:rPr>
                <w:rFonts w:ascii="ARIAL" w:hAnsi="ARIAL"/>
                <w:sz w:val="18"/>
              </w:rPr>
              <w:t>Kristine K.</w:t>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Severance Payment(1)(2)</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1,377,500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2,755,000  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0"/>
              <w:jc w:val="left"/>
              <w:rPr/>
            </w:pPr>
            <w:r>
              <w:rPr/>
              <w:t> </w:t>
            </w:r>
            <w:r>
              <w:rPr>
                <w:rFonts w:ascii="ARIAL" w:hAnsi="ARIAL"/>
                <w:sz w:val="18"/>
              </w:rPr>
              <w:t>Malkoski</w:t>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Pro rata Bonus Payment(3)(4)</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739,575</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739,575</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652,500  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Value of Unvested RSUs/Options(5)(6)</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1,893,149</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1,390,536</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1,893,149  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Health &amp; Welfare Benefits(7)(8)</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11,401</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22,803  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pPr>
            <w:r>
              <w:rPr/>
              <w:t>Outplacement(9)</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pPr>
            <w:r>
              <w:rPr/>
              <w:t>30,000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pPr>
            <w:r>
              <w:rPr/>
              <w:t>30,000  </w:t>
            </w:r>
          </w:p>
        </w:tc>
        <w:tc>
          <w:tcPr>
            <w:tcW w:w="75" w:type="dxa"/>
            <w:tcBorders/>
            <w:shd w:fill="D5EBF6" w:val="clear"/>
            <w:vAlign w:val="center"/>
          </w:tcPr>
          <w:p>
            <w:pPr>
              <w:pStyle w:val="TableContents"/>
              <w:bidi w:val="0"/>
              <w:spacing w:before="0" w:after="283"/>
              <w:jc w:val="left"/>
              <w:rPr/>
            </w:pPr>
            <w:r>
              <w:rPr/>
              <w:t> </w:t>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3845" w:type="dxa"/>
            <w:gridSpan w:val="2"/>
            <w:tcBorders/>
            <w:shd w:fill="D5EBF6" w:val="clear"/>
            <w:vAlign w:val="center"/>
          </w:tcPr>
          <w:p>
            <w:pPr>
              <w:pStyle w:val="TableContents"/>
              <w:bidi w:val="0"/>
              <w:spacing w:before="0" w:after="283"/>
              <w:jc w:val="left"/>
              <w:rPr>
                <w:sz w:val="4"/>
                <w:szCs w:val="4"/>
              </w:rPr>
            </w:pPr>
            <w:r>
              <w:rPr>
                <w:sz w:val="4"/>
                <w:szCs w:val="4"/>
              </w:rPr>
            </w:r>
          </w:p>
        </w:tc>
        <w:tc>
          <w:tcPr>
            <w:tcW w:w="143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c>
          <w:tcPr>
            <w:tcW w:w="1624"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1460"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3785" w:type="dxa"/>
            <w:tcBorders/>
            <w:shd w:fill="D5EBF6" w:val="clear"/>
            <w:vAlign w:val="center"/>
          </w:tcPr>
          <w:p>
            <w:pPr>
              <w:pStyle w:val="TableContents"/>
              <w:bidi w:val="0"/>
              <w:spacing w:before="0" w:after="283"/>
              <w:jc w:val="left"/>
              <w:rPr>
                <w:b/>
              </w:rPr>
            </w:pPr>
            <w:r>
              <w:rPr>
                <w:b/>
              </w:rPr>
              <w:t>Total Estimated Value(10)</w:t>
            </w:r>
          </w:p>
        </w:tc>
        <w:tc>
          <w:tcPr>
            <w:tcW w:w="60" w:type="dxa"/>
            <w:tcBorders/>
            <w:shd w:fill="D5EBF6" w:val="clear"/>
            <w:vAlign w:val="center"/>
          </w:tcPr>
          <w:p>
            <w:pPr>
              <w:pStyle w:val="TableContents"/>
              <w:bidi w:val="0"/>
              <w:spacing w:before="0" w:after="283"/>
              <w:jc w:val="left"/>
              <w:rPr/>
            </w:pPr>
            <w:r>
              <w:rPr/>
              <w:t> </w:t>
            </w:r>
          </w:p>
        </w:tc>
        <w:tc>
          <w:tcPr>
            <w:tcW w:w="67" w:type="dxa"/>
            <w:tcBorders/>
            <w:shd w:fill="D5EBF6" w:val="clear"/>
            <w:vAlign w:val="center"/>
          </w:tcPr>
          <w:p>
            <w:pPr>
              <w:pStyle w:val="TableContents"/>
              <w:bidi w:val="0"/>
              <w:spacing w:before="0" w:after="283"/>
              <w:jc w:val="left"/>
              <w:rPr/>
            </w:pPr>
            <w:r>
              <w:rPr/>
              <w:t> </w:t>
            </w:r>
          </w:p>
        </w:tc>
        <w:tc>
          <w:tcPr>
            <w:tcW w:w="1243" w:type="dxa"/>
            <w:tcBorders/>
            <w:shd w:fill="D5EBF6" w:val="clear"/>
            <w:vAlign w:val="center"/>
          </w:tcPr>
          <w:p>
            <w:pPr>
              <w:pStyle w:val="TableContents"/>
              <w:bidi w:val="0"/>
              <w:spacing w:before="0" w:after="283"/>
              <w:jc w:val="center"/>
              <w:rPr>
                <w:b/>
              </w:rPr>
            </w:pPr>
            <w:r>
              <w:rPr>
                <w:b/>
              </w:rPr>
              <w:t>2,632,724</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6" w:type="dxa"/>
            <w:tcBorders/>
            <w:shd w:fill="D5EBF6" w:val="clear"/>
            <w:vAlign w:val="center"/>
          </w:tcPr>
          <w:p>
            <w:pPr>
              <w:pStyle w:val="TableContents"/>
              <w:bidi w:val="0"/>
              <w:spacing w:before="0" w:after="283"/>
              <w:jc w:val="left"/>
              <w:rPr/>
            </w:pPr>
            <w:r>
              <w:rPr/>
              <w:t> </w:t>
            </w:r>
          </w:p>
        </w:tc>
        <w:tc>
          <w:tcPr>
            <w:tcW w:w="1229" w:type="dxa"/>
            <w:tcBorders/>
            <w:shd w:fill="D5EBF6" w:val="clear"/>
            <w:vAlign w:val="center"/>
          </w:tcPr>
          <w:p>
            <w:pPr>
              <w:pStyle w:val="TableContents"/>
              <w:bidi w:val="0"/>
              <w:spacing w:before="0" w:after="283"/>
              <w:jc w:val="center"/>
              <w:rPr>
                <w:b/>
              </w:rPr>
            </w:pPr>
            <w:r>
              <w:rPr>
                <w:b/>
              </w:rPr>
              <w:t>3,549,012</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76" w:type="dxa"/>
            <w:tcBorders/>
            <w:shd w:fill="D5EBF6" w:val="clear"/>
            <w:vAlign w:val="center"/>
          </w:tcPr>
          <w:p>
            <w:pPr>
              <w:pStyle w:val="TableContents"/>
              <w:bidi w:val="0"/>
              <w:spacing w:before="0" w:after="283"/>
              <w:jc w:val="left"/>
              <w:rPr/>
            </w:pPr>
            <w:r>
              <w:rPr/>
              <w:t> </w:t>
            </w:r>
          </w:p>
        </w:tc>
        <w:tc>
          <w:tcPr>
            <w:tcW w:w="1413" w:type="dxa"/>
            <w:tcBorders/>
            <w:shd w:fill="D5EBF6" w:val="clear"/>
            <w:vAlign w:val="center"/>
          </w:tcPr>
          <w:p>
            <w:pPr>
              <w:pStyle w:val="TableContents"/>
              <w:bidi w:val="0"/>
              <w:spacing w:before="0" w:after="283"/>
              <w:jc w:val="center"/>
              <w:rPr>
                <w:b/>
              </w:rPr>
            </w:pPr>
            <w:r>
              <w:rPr>
                <w:b/>
              </w:rPr>
              <w:t>5,353,452  </w:t>
            </w:r>
          </w:p>
        </w:tc>
        <w:tc>
          <w:tcPr>
            <w:tcW w:w="75" w:type="dxa"/>
            <w:tcBorders/>
            <w:shd w:fill="D5EBF6" w:val="clear"/>
            <w:vAlign w:val="center"/>
          </w:tcPr>
          <w:p>
            <w:pPr>
              <w:pStyle w:val="TableContents"/>
              <w:bidi w:val="0"/>
              <w:spacing w:before="0" w:after="283"/>
              <w:jc w:val="left"/>
              <w:rPr/>
            </w:pPr>
            <w:r>
              <w:rPr/>
              <w:t> </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both"/>
              <w:rPr>
                <w:rFonts w:ascii="ARIAL" w:hAnsi="ARIAL"/>
                <w:sz w:val="18"/>
              </w:rPr>
            </w:pPr>
            <w:r>
              <w:rPr>
                <w:rFonts w:ascii="ARIAL" w:hAnsi="ARIAL"/>
                <w:i/>
                <w:sz w:val="18"/>
                <w:u w:val="single"/>
              </w:rPr>
              <w:t>Severance Payment-Qualifying Termination</w:t>
            </w:r>
            <w:r>
              <w:rPr>
                <w:rFonts w:ascii="ARIAL" w:hAnsi="ARIAL"/>
                <w:sz w:val="18"/>
                <w:u w:val="single"/>
              </w:rPr>
              <w:t>.</w:t>
            </w:r>
            <w:r>
              <w:rPr>
                <w:rFonts w:ascii="ARIAL" w:hAnsi="ARIAL"/>
                <w:sz w:val="18"/>
              </w:rPr>
              <w:t xml:space="preserve"> Under the Severance Plan, Mr. Peterson would receive a cash severance payment equal to two times the sum of base salary and target annual cash bonus award, and each of Messrs. Erceg and Turner and Mses. Platt and Malkoski would receive a cash severance payment equal to the sum of base salary and target annual cash bonus award.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both"/>
              <w:rPr>
                <w:rFonts w:ascii="ARIAL" w:hAnsi="ARIAL"/>
                <w:sz w:val="18"/>
              </w:rPr>
            </w:pPr>
            <w:r>
              <w:rPr>
                <w:rFonts w:ascii="ARIAL" w:hAnsi="ARIAL"/>
                <w:i/>
                <w:sz w:val="18"/>
                <w:u w:val="single"/>
              </w:rPr>
              <w:t>Severance Payment-Qualifying Termination Following Change in Control.</w:t>
            </w:r>
            <w:r>
              <w:rPr>
                <w:rFonts w:ascii="ARIAL" w:hAnsi="ARIAL"/>
                <w:sz w:val="18"/>
              </w:rPr>
              <w:t xml:space="preserve"> Under the Severance Plan, each of the named executive officers would receive a cash severance payment equal to two times the sum of their base salary and target annual cash bonus.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both"/>
              <w:rPr>
                <w:rFonts w:ascii="ARIAL" w:hAnsi="ARIAL"/>
                <w:sz w:val="18"/>
              </w:rPr>
            </w:pPr>
            <w:r>
              <w:rPr>
                <w:rFonts w:ascii="ARIAL" w:hAnsi="ARIAL"/>
                <w:i/>
                <w:sz w:val="18"/>
                <w:u w:val="single"/>
              </w:rPr>
              <w:t>Pro rata Bonus-Death, Disability or Qualifying Termination.</w:t>
            </w:r>
            <w:r>
              <w:rPr>
                <w:rFonts w:ascii="ARIAL" w:hAnsi="ARIAL"/>
                <w:sz w:val="18"/>
              </w:rPr>
              <w:t xml:space="preserve"> All named executive officers would be entitled to a pro-rated annual cash bonus for the year of death, disability, or qualifying termination, paid on the basis of actual performance. Because she was retirement eligible as of December 31, 2025, Ms. Malkoski would also be entitled to such a bonus in the event of her retirement under the terms of the Bonus Plan. The Bonus Plan for 2025 paid out at 80% for Messrs. Peterson, Erceg and Turner and Ms. Platt, and 114% for Ms. Malkoski.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both"/>
              <w:rPr>
                <w:rFonts w:ascii="ARIAL" w:hAnsi="ARIAL"/>
                <w:sz w:val="18"/>
              </w:rPr>
            </w:pPr>
            <w:r>
              <w:rPr>
                <w:rFonts w:ascii="ARIAL" w:hAnsi="ARIAL"/>
                <w:i/>
                <w:sz w:val="18"/>
                <w:u w:val="single"/>
              </w:rPr>
              <w:t>Pro rata Bonus-Qualifying Termination Following Change in Control.</w:t>
            </w:r>
            <w:r>
              <w:rPr>
                <w:rFonts w:ascii="ARIAL" w:hAnsi="ARIAL"/>
                <w:sz w:val="18"/>
              </w:rPr>
              <w:t xml:space="preserve"> All named executive officers included in this table would be entitled to a pro-rated annual cash bonus for the year of qualifying termination within 24 months of a Change in Control, paid on the basis of target performance. A pro-rated annual cash bonus would also be payable on the basis of target performance to the named executive officers upon a change in control (regardless of whether they experienced an employment termination) for the year of the change in control under the terms of the Bonus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(5)</w:t>
            </w:r>
          </w:p>
        </w:tc>
        <w:tc>
          <w:tcPr>
            <w:tcW w:w="9971" w:type="dxa"/>
            <w:tcBorders/>
            <w:vAlign w:val="center"/>
          </w:tcPr>
          <w:p>
            <w:pPr>
              <w:pStyle w:val="TableContents"/>
              <w:bidi w:val="0"/>
              <w:spacing w:before="0" w:after="0"/>
              <w:jc w:val="both"/>
              <w:rPr>
                <w:rFonts w:ascii="ARIAL" w:hAnsi="ARIAL"/>
                <w:sz w:val="18"/>
              </w:rPr>
            </w:pPr>
            <w:r>
              <w:rPr>
                <w:rFonts w:ascii="ARIAL" w:hAnsi="ARIAL"/>
                <w:i/>
                <w:sz w:val="18"/>
                <w:u w:val="single"/>
              </w:rPr>
              <w:t>Value of Unvested RSUs/Options-Qualifying Termination</w:t>
            </w:r>
            <w:r>
              <w:rPr>
                <w:rFonts w:ascii="ARIAL" w:hAnsi="ARIAL"/>
                <w:sz w:val="18"/>
                <w:u w:val="single"/>
              </w:rPr>
              <w:t>.</w:t>
            </w:r>
            <w:r>
              <w:rPr>
                <w:rFonts w:ascii="ARIAL" w:hAnsi="ARIAL"/>
                <w:sz w:val="18"/>
              </w:rPr>
              <w:t xml:space="preserve"> Amounts in this row represent the value of the RSUs or stock options that would vest upon a qualifying termination, assuming in Mr. Peterson’s case an involuntary termination without Good Cause. The value of the RSUs and stock options is based on the closing market price of the Company’s common stock on December 31, 2025 of $3.72 and assumes performance at the target (100%) payout level for all PRSUs for which performance conditions were not certified as of December 31, 2025. In the event he were terminated other than for Good Cause, Mr. Peterson would be entitled to full vesting of all outstanding RSU awards. In the event he resigned for Good Reason, Mr. Peterson would be entitled to pro-rata vesting of all outstanding RSU awards. In the event he or she were terminated other than for Good Cause or resigned for Good Reason, (i) Ms. Platt would be entitled to full vesting of all outstanding RSUs provided as part of her Employment Transition Award and pro-rata vesting of all her other outstanding RSU awards, and (ii) Messrs. Erceg and Turner and Ms. Malkoski would be entitled to pro-rata vesting of all of their unvested RSU and stock option awards. Furthermore, because she was retirement eligible as of December 31, 2025 under the terms of her awards, in the event of any voluntary or involuntary termination of Ms. Malkoski’s employment, without cause (as defined in the applicable award agreement), Ms. Malkoski would be entitled to full vesting of her unvested PRSU awards granted in 2023 and 2024. The portion of any awards continuing to vest following a termination of employment under the provisions described above would continue to vest and be paid, as applicable, in accordance with the original vesting and payment schedule, subject in all cases to the level of achievement of any applicable performance criteria.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0"/>
              <w:jc w:val="both"/>
              <w:rPr>
                <w:rFonts w:ascii="ARIAL" w:hAnsi="ARIAL"/>
                <w:sz w:val="18"/>
              </w:rPr>
            </w:pPr>
            <w:r>
              <w:rPr>
                <w:rFonts w:ascii="ARIAL" w:hAnsi="ARIAL"/>
                <w:i/>
                <w:sz w:val="18"/>
                <w:u w:val="single"/>
              </w:rPr>
              <w:t>Value of Unvested RSUs/Options-Death, Disability, or Qualifying Termination Following a Change in Control</w:t>
            </w:r>
            <w:r>
              <w:rPr>
                <w:rFonts w:ascii="ARIAL" w:hAnsi="ARIAL"/>
                <w:sz w:val="18"/>
                <w:u w:val="single"/>
              </w:rPr>
              <w:t>.</w:t>
            </w:r>
            <w:r>
              <w:rPr>
                <w:rFonts w:ascii="ARIAL" w:hAnsi="ARIAL"/>
                <w:sz w:val="18"/>
              </w:rPr>
              <w:t xml:space="preserve"> Amounts in this row consist of RSUs and stock options that would vest upon death, disability, or qualifying termination following Change in Control (as defined in the 2013 Incentive Plan or 2022 Incentive Plan, as applicable), on December 31, 2025, with PRSUs for which performance conditions were not certified as of December 31, 2025 payable at target. The value of the RSUs and stock options is based on the closing market price of the Company’s common stock on December 31, 2025 of $3.72.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(7)</w:t>
            </w:r>
          </w:p>
        </w:tc>
        <w:tc>
          <w:tcPr>
            <w:tcW w:w="9961" w:type="dxa"/>
            <w:tcBorders/>
            <w:vAlign w:val="center"/>
          </w:tcPr>
          <w:p>
            <w:pPr>
              <w:pStyle w:val="TableContents"/>
              <w:bidi w:val="0"/>
              <w:spacing w:before="0" w:after="0"/>
              <w:jc w:val="both"/>
              <w:rPr>
                <w:rFonts w:ascii="ARIAL" w:hAnsi="ARIAL"/>
                <w:sz w:val="18"/>
              </w:rPr>
            </w:pPr>
            <w:r>
              <w:rPr>
                <w:rFonts w:ascii="ARIAL" w:hAnsi="ARIAL"/>
                <w:i/>
                <w:sz w:val="18"/>
                <w:u w:val="single"/>
              </w:rPr>
              <w:t>Welfare Benefits for Severance Period-Qualifying Termination</w:t>
            </w:r>
            <w:r>
              <w:rPr>
                <w:rFonts w:ascii="ARIAL" w:hAnsi="ARIAL"/>
                <w:sz w:val="18"/>
                <w:u w:val="single"/>
              </w:rPr>
              <w:t>.</w:t>
            </w:r>
            <w:r>
              <w:rPr>
                <w:rFonts w:ascii="ARIAL" w:hAnsi="ARIAL"/>
                <w:sz w:val="18"/>
              </w:rPr>
              <w:t xml:space="preserve"> Amounts in this row consist of projected premiums for life, medical, dental, vision, accidental death and disability and disability policies, reduced by the amount of projected employee premiums and employee paid administrative charges, during the severance period for each named executive officer. For a termination without cause, amounts reflect projected costs for 12 months for all named executive officers (other than Mr. Peterson, for whom the amount reflects projected costs for 24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(8)</w:t>
            </w:r>
          </w:p>
        </w:tc>
        <w:tc>
          <w:tcPr>
            <w:tcW w:w="9959" w:type="dxa"/>
            <w:tcBorders/>
            <w:vAlign w:val="center"/>
          </w:tcPr>
          <w:p>
            <w:pPr>
              <w:pStyle w:val="TableContents"/>
              <w:bidi w:val="0"/>
              <w:spacing w:before="0" w:after="0"/>
              <w:jc w:val="both"/>
              <w:rPr>
                <w:rFonts w:ascii="ARIAL" w:hAnsi="ARIAL"/>
                <w:sz w:val="18"/>
              </w:rPr>
            </w:pPr>
            <w:r>
              <w:rPr>
                <w:rFonts w:ascii="ARIAL" w:hAnsi="ARIAL"/>
                <w:i/>
                <w:sz w:val="18"/>
                <w:u w:val="single"/>
              </w:rPr>
              <w:t>Welfare Benefits for Severance Period-Qualifying Termination following Change in Control.</w:t>
            </w:r>
            <w:r>
              <w:rPr>
                <w:rFonts w:ascii="ARIAL" w:hAnsi="ARIAL"/>
                <w:sz w:val="18"/>
              </w:rPr>
              <w:t xml:space="preserve"> Amounts in this row consist of projected premiums for life, medical, dental, vision, accidental death and disability and disability policies, reduced by the amount of projected employee premiums and employee paid administrative charges, during the severance period for each named executive officer. For a qualifying termination following Change in Control, amounts reflect projected costs for 24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(9)</w:t>
            </w:r>
          </w:p>
        </w:tc>
        <w:tc>
          <w:tcPr>
            <w:tcW w:w="9917" w:type="dxa"/>
            <w:tcBorders/>
            <w:vAlign w:val="center"/>
          </w:tcPr>
          <w:p>
            <w:pPr>
              <w:pStyle w:val="TableContents"/>
              <w:bidi w:val="0"/>
              <w:spacing w:before="0" w:after="0"/>
              <w:jc w:val="both"/>
              <w:rPr>
                <w:rFonts w:ascii="ARIAL" w:hAnsi="ARIAL"/>
                <w:sz w:val="18"/>
              </w:rPr>
            </w:pPr>
            <w:r>
              <w:rPr>
                <w:rFonts w:ascii="ARIAL" w:hAnsi="ARIAL"/>
                <w:i/>
                <w:sz w:val="18"/>
                <w:u w:val="single"/>
              </w:rPr>
              <w:t>Outplacement Value.</w:t>
            </w:r>
            <w:r>
              <w:rPr>
                <w:rFonts w:ascii="ARIAL" w:hAnsi="ARIAL"/>
                <w:sz w:val="18"/>
              </w:rPr>
              <w:t xml:space="preserve"> Amounts in this row consist of projected costs of outplacement service provided to the executive upon termination of employment.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(10)</w:t>
            </w:r>
          </w:p>
        </w:tc>
        <w:tc>
          <w:tcPr>
            <w:tcW w:w="9831" w:type="dxa"/>
            <w:tcBorders/>
            <w:vAlign w:val="center"/>
          </w:tcPr>
          <w:p>
            <w:pPr>
              <w:pStyle w:val="TableContents"/>
              <w:bidi w:val="0"/>
              <w:spacing w:before="0" w:after="0"/>
              <w:jc w:val="both"/>
              <w:rPr>
                <w:rFonts w:ascii="ARIAL" w:hAnsi="ARIAL"/>
                <w:sz w:val="18"/>
              </w:rPr>
            </w:pPr>
            <w:r>
              <w:rPr>
                <w:rFonts w:ascii="ARIAL" w:hAnsi="ARIAL"/>
                <w:i/>
                <w:sz w:val="18"/>
                <w:u w:val="single"/>
              </w:rPr>
              <w:t>Potential Payment Reduction (Section 280G)</w:t>
            </w:r>
            <w:r>
              <w:rPr>
                <w:rFonts w:ascii="ARIAL" w:hAnsi="ARIAL"/>
                <w:sz w:val="18"/>
                <w:u w:val="single"/>
              </w:rPr>
              <w:t>.</w:t>
            </w:r>
            <w:r>
              <w:rPr>
                <w:rFonts w:ascii="ARIAL" w:hAnsi="ARIAL"/>
                <w:sz w:val="18"/>
              </w:rPr>
              <w:t xml:space="preserve"> For all named executive officers, the total estimated value in the event of a qualifying termination within 24 months of a Change in Control may be subject to reduction in payments pursuant to the Severance Plan to avoid excise tax liability arising under Sections 4999 and 280G of the Internal Revenue Code. </w:t>
            </w:r>
          </w:p>
        </w:tc>
      </w:tr>
    </w:tbl>
    <w:p>
      <w:pPr>
        <w:pStyle w:val="TextBody"/>
        <w:bidi w:val="0"/>
        <w:spacing w:before="480" w:after="0"/>
        <w:jc w:val="center"/>
        <w:rPr>
          <w:rFonts w:ascii="ARIAL" w:hAnsi="ARIAL"/>
          <w:b/>
          <w:sz w:val="22"/>
          <w:u w:val="single"/>
        </w:rPr>
      </w:pPr>
      <w:r>
        <w:rPr>
          <w:rFonts w:ascii="ARIAL" w:hAnsi="ARIAL"/>
          <w:b/>
          <w:sz w:val="22"/>
          <w:u w:val="single"/>
        </w:rPr>
        <w:t xml:space="preserve">2025 Director Compensation </w:t>
      </w:r>
    </w:p>
    <w:p>
      <w:pPr>
        <w:pStyle w:val="TextBody"/>
        <w:bidi w:val="0"/>
        <w:spacing w:before="240" w:after="0"/>
        <w:jc w:val="both"/>
        <w:rPr>
          <w:rFonts w:ascii="ARIAL" w:hAnsi="ARIAL"/>
          <w:sz w:val="22"/>
        </w:rPr>
      </w:pPr>
      <w:r>
        <w:rPr>
          <w:rFonts w:ascii="ARIAL" w:hAnsi="ARIAL"/>
          <w:sz w:val="22"/>
        </w:rPr>
        <w:t xml:space="preserve">This table discloses all compensation provided to each non-employee director of the Company in 2025. </w:t>
      </w:r>
    </w:p>
    <w:p>
      <w:pPr>
        <w:pStyle w:val="TextBody"/>
        <w:bidi w:val="0"/>
        <w:spacing w:before="0" w:after="0"/>
        <w:jc w:val="left"/>
        <w:rPr/>
      </w:pPr>
      <w:r>
        <w:rPr/>
        <w:t> </w:t>
      </w:r>
    </w:p>
    <w:tbl>
      <w:tblPr>
        <w:tblW w:w="8300" w:type="dxa"/>
        <w:jc w:val="left"/>
        <w:tblInd w:w="0" w:type="dxa"/>
        <w:tblLayout w:type="fixed"/>
        <w:tblCellMar>
          <w:top w:w="0" w:type="dxa"/>
          <w:left w:w="0" w:type="dxa"/>
          <w:bottom w:w="0" w:type="dxa"/>
          <w:right w:w="0" w:type="dxa"/>
        </w:tblCellMar>
      </w:tblPr>
      <w:tblGrid>
        <w:gridCol w:w="3785"/>
        <w:gridCol w:w="60"/>
        <w:gridCol w:w="110"/>
        <w:gridCol w:w="1470"/>
        <w:gridCol w:w="60"/>
        <w:gridCol w:w="60"/>
        <w:gridCol w:w="101"/>
        <w:gridCol w:w="1359"/>
        <w:gridCol w:w="60"/>
        <w:gridCol w:w="60"/>
        <w:gridCol w:w="60"/>
        <w:gridCol w:w="1040"/>
        <w:gridCol w:w="75"/>
      </w:tblGrid>
      <w:tr>
        <w:trPr/>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85" w:type="dxa"/>
            <w:tcBorders>
              <w:bottom w:val="single" w:sz="6" w:space="0" w:color="000000"/>
            </w:tcBorders>
            <w:tcMar>
              <w:bottom w:w="40" w:type="dxa"/>
            </w:tcMar>
            <w:vAlign w:val="center"/>
          </w:tcPr>
          <w:p>
            <w:pPr>
              <w:pStyle w:val="TableContents"/>
              <w:bidi w:val="0"/>
              <w:spacing w:before="0" w:after="283"/>
              <w:jc w:val="left"/>
              <w:rPr/>
            </w:pPr>
            <w:r>
              <w:rPr/>
              <w:t> </w:t>
            </w:r>
            <w:r>
              <w:rPr>
                <w:b/>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8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Fees Earned or</w:t>
              <w:br/>
              <w:t>Paid in Cash</w:t>
              <w:b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6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Stock Awards</w:t>
              <w:br/>
              <w:t>($)(2)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Total</w:t>
              <w:br/>
              <w: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785" w:type="dxa"/>
            <w:tcBorders>
              <w:bottom w:val="single" w:sz="6" w:space="0" w:color="000000"/>
            </w:tcBorders>
            <w:tcMar>
              <w:bottom w:w="28" w:type="dxa"/>
            </w:tcMar>
            <w:vAlign w:val="center"/>
          </w:tcPr>
          <w:p>
            <w:pPr>
              <w:pStyle w:val="TableContents"/>
              <w:bidi w:val="0"/>
              <w:spacing w:before="0" w:after="20"/>
              <w:jc w:val="both"/>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1359"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785" w:type="dxa"/>
            <w:tcBorders/>
            <w:shd w:fill="D5EBF6" w:val="clear"/>
            <w:vAlign w:val="center"/>
          </w:tcPr>
          <w:p>
            <w:pPr>
              <w:pStyle w:val="TableContents"/>
              <w:bidi w:val="0"/>
              <w:spacing w:before="0" w:after="283"/>
              <w:jc w:val="left"/>
              <w:rPr>
                <w:sz w:val="4"/>
                <w:szCs w:val="4"/>
              </w:rPr>
            </w:pPr>
            <w:r>
              <w:rPr>
                <w:sz w:val="4"/>
                <w:szCs w:val="4"/>
              </w:rPr>
            </w:r>
          </w:p>
        </w:tc>
        <w:tc>
          <w:tcPr>
            <w:tcW w:w="1700" w:type="dxa"/>
            <w:gridSpan w:val="4"/>
            <w:tcBorders/>
            <w:shd w:fill="D5EBF6" w:val="clear"/>
            <w:vAlign w:val="center"/>
          </w:tcPr>
          <w:p>
            <w:pPr>
              <w:pStyle w:val="TableContents"/>
              <w:bidi w:val="0"/>
              <w:spacing w:before="0" w:after="283"/>
              <w:jc w:val="left"/>
              <w:rPr>
                <w:sz w:val="4"/>
                <w:szCs w:val="4"/>
              </w:rPr>
            </w:pPr>
            <w:r>
              <w:rPr>
                <w:sz w:val="4"/>
                <w:szCs w:val="4"/>
              </w:rPr>
            </w:r>
          </w:p>
        </w:tc>
        <w:tc>
          <w:tcPr>
            <w:tcW w:w="1580" w:type="dxa"/>
            <w:gridSpan w:val="4"/>
            <w:tcBorders/>
            <w:shd w:fill="D5EBF6" w:val="clear"/>
            <w:vAlign w:val="center"/>
          </w:tcPr>
          <w:p>
            <w:pPr>
              <w:pStyle w:val="TableContents"/>
              <w:bidi w:val="0"/>
              <w:spacing w:before="0" w:after="283"/>
              <w:jc w:val="left"/>
              <w:rPr>
                <w:sz w:val="4"/>
                <w:szCs w:val="4"/>
              </w:rPr>
            </w:pPr>
            <w:r>
              <w:rPr>
                <w:sz w:val="4"/>
                <w:szCs w:val="4"/>
              </w:rPr>
            </w:r>
          </w:p>
        </w:tc>
        <w:tc>
          <w:tcPr>
            <w:tcW w:w="123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3785" w:type="dxa"/>
            <w:tcBorders/>
            <w:shd w:fill="D5EBF6" w:val="clear"/>
            <w:vAlign w:val="center"/>
          </w:tcPr>
          <w:p>
            <w:pPr>
              <w:pStyle w:val="TableContents"/>
              <w:bidi w:val="0"/>
              <w:spacing w:before="0" w:after="0"/>
              <w:jc w:val="left"/>
              <w:rPr/>
            </w:pPr>
            <w:r>
              <w:rPr/>
              <w:t> </w:t>
            </w:r>
            <w:r>
              <w:rPr>
                <w:rFonts w:ascii="ARIAL" w:hAnsi="ARIAL"/>
                <w:sz w:val="22"/>
              </w:rPr>
              <w:t>Bridget Ryan Berman (Chairperson)</w:t>
            </w:r>
          </w:p>
        </w:tc>
        <w:tc>
          <w:tcPr>
            <w:tcW w:w="60" w:type="dxa"/>
            <w:tcBorders/>
            <w:shd w:fill="D5EBF6" w:val="clear"/>
            <w:vAlign w:val="center"/>
          </w:tcPr>
          <w:p>
            <w:pPr>
              <w:pStyle w:val="TableContents"/>
              <w:bidi w:val="0"/>
              <w:spacing w:before="0" w:after="283"/>
              <w:jc w:val="left"/>
              <w:rPr/>
            </w:pPr>
            <w:r>
              <w:rPr/>
              <w:t> </w:t>
            </w:r>
          </w:p>
        </w:tc>
        <w:tc>
          <w:tcPr>
            <w:tcW w:w="110" w:type="dxa"/>
            <w:tcBorders/>
            <w:shd w:fill="D5EBF6" w:val="clear"/>
            <w:vAlign w:val="center"/>
          </w:tcPr>
          <w:p>
            <w:pPr>
              <w:pStyle w:val="TableContents"/>
              <w:bidi w:val="0"/>
              <w:spacing w:before="0" w:after="283"/>
              <w:jc w:val="left"/>
              <w:rPr/>
            </w:pPr>
            <w:r>
              <w:rPr/>
              <w:t> </w:t>
            </w:r>
          </w:p>
        </w:tc>
        <w:tc>
          <w:tcPr>
            <w:tcW w:w="1470" w:type="dxa"/>
            <w:tcBorders/>
            <w:shd w:fill="D5EBF6" w:val="clear"/>
            <w:vAlign w:val="center"/>
          </w:tcPr>
          <w:p>
            <w:pPr>
              <w:pStyle w:val="TableContents"/>
              <w:bidi w:val="0"/>
              <w:spacing w:before="0" w:after="283"/>
              <w:jc w:val="center"/>
              <w:rPr/>
            </w:pPr>
            <w:r>
              <w:rPr/>
              <w:t>315,000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1" w:type="dxa"/>
            <w:tcBorders/>
            <w:shd w:fill="D5EBF6" w:val="clear"/>
            <w:vAlign w:val="center"/>
          </w:tcPr>
          <w:p>
            <w:pPr>
              <w:pStyle w:val="TableContents"/>
              <w:bidi w:val="0"/>
              <w:spacing w:before="0" w:after="283"/>
              <w:jc w:val="left"/>
              <w:rPr/>
            </w:pPr>
            <w:r>
              <w:rPr/>
              <w:t> </w:t>
            </w:r>
          </w:p>
        </w:tc>
        <w:tc>
          <w:tcPr>
            <w:tcW w:w="1359" w:type="dxa"/>
            <w:tcBorders/>
            <w:shd w:fill="D5EBF6" w:val="clear"/>
            <w:vAlign w:val="center"/>
          </w:tcPr>
          <w:p>
            <w:pPr>
              <w:pStyle w:val="TableContents"/>
              <w:bidi w:val="0"/>
              <w:spacing w:before="0" w:after="283"/>
              <w:jc w:val="center"/>
              <w:rPr/>
            </w:pPr>
            <w:r>
              <w:rPr/>
              <w:t>159,999</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40" w:type="dxa"/>
            <w:tcBorders/>
            <w:shd w:fill="D5EBF6" w:val="clear"/>
            <w:vAlign w:val="center"/>
          </w:tcPr>
          <w:p>
            <w:pPr>
              <w:pStyle w:val="TableContents"/>
              <w:bidi w:val="0"/>
              <w:spacing w:before="0" w:after="283"/>
              <w:jc w:val="right"/>
              <w:rPr/>
            </w:pPr>
            <w:r>
              <w:rPr/>
              <w:t>474,999 </w:t>
            </w:r>
          </w:p>
        </w:tc>
        <w:tc>
          <w:tcPr>
            <w:tcW w:w="75" w:type="dxa"/>
            <w:tcBorders/>
            <w:shd w:fill="D5EBF6"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pPr>
            <w:r>
              <w:rPr/>
              <w:t> </w:t>
            </w:r>
            <w:r>
              <w:rPr>
                <w:rFonts w:ascii="ARIAL" w:hAnsi="ARIAL"/>
                <w:sz w:val="22"/>
              </w:rPr>
              <w:t>Patrick D. Campbell</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center"/>
              <w:rPr/>
            </w:pPr>
            <w:r>
              <w:rPr/>
              <w:t>140,000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center"/>
              <w:rPr/>
            </w:pPr>
            <w:r>
              <w:rPr/>
              <w:t>159,999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299,999 </w:t>
            </w:r>
          </w:p>
        </w:tc>
        <w:tc>
          <w:tcPr>
            <w:tcW w:w="75" w:type="dxa"/>
            <w:tcBorders/>
            <w:vAlign w:val="center"/>
          </w:tcPr>
          <w:p>
            <w:pPr>
              <w:pStyle w:val="TableContents"/>
              <w:bidi w:val="0"/>
              <w:spacing w:before="0" w:after="283"/>
              <w:jc w:val="left"/>
              <w:rPr/>
            </w:pPr>
            <w:r>
              <w:rPr/>
              <w:t> </w:t>
            </w:r>
          </w:p>
        </w:tc>
      </w:tr>
      <w:tr>
        <w:trPr/>
        <w:tc>
          <w:tcPr>
            <w:tcW w:w="3785" w:type="dxa"/>
            <w:tcBorders/>
            <w:shd w:fill="D5EBF6" w:val="clear"/>
            <w:vAlign w:val="center"/>
          </w:tcPr>
          <w:p>
            <w:pPr>
              <w:pStyle w:val="TableContents"/>
              <w:bidi w:val="0"/>
              <w:spacing w:before="0" w:after="283"/>
              <w:jc w:val="left"/>
              <w:rPr>
                <w:sz w:val="4"/>
                <w:szCs w:val="4"/>
              </w:rPr>
            </w:pPr>
            <w:r>
              <w:rPr>
                <w:sz w:val="4"/>
                <w:szCs w:val="4"/>
              </w:rPr>
            </w:r>
          </w:p>
        </w:tc>
        <w:tc>
          <w:tcPr>
            <w:tcW w:w="1700" w:type="dxa"/>
            <w:gridSpan w:val="4"/>
            <w:tcBorders/>
            <w:shd w:fill="D5EBF6" w:val="clear"/>
            <w:vAlign w:val="center"/>
          </w:tcPr>
          <w:p>
            <w:pPr>
              <w:pStyle w:val="TableContents"/>
              <w:bidi w:val="0"/>
              <w:spacing w:before="0" w:after="283"/>
              <w:jc w:val="left"/>
              <w:rPr>
                <w:sz w:val="4"/>
                <w:szCs w:val="4"/>
              </w:rPr>
            </w:pPr>
            <w:r>
              <w:rPr>
                <w:sz w:val="4"/>
                <w:szCs w:val="4"/>
              </w:rPr>
            </w:r>
          </w:p>
        </w:tc>
        <w:tc>
          <w:tcPr>
            <w:tcW w:w="1580" w:type="dxa"/>
            <w:gridSpan w:val="4"/>
            <w:tcBorders/>
            <w:shd w:fill="D5EBF6" w:val="clear"/>
            <w:vAlign w:val="center"/>
          </w:tcPr>
          <w:p>
            <w:pPr>
              <w:pStyle w:val="TableContents"/>
              <w:bidi w:val="0"/>
              <w:spacing w:before="0" w:after="283"/>
              <w:jc w:val="left"/>
              <w:rPr>
                <w:sz w:val="4"/>
                <w:szCs w:val="4"/>
              </w:rPr>
            </w:pPr>
            <w:r>
              <w:rPr>
                <w:sz w:val="4"/>
                <w:szCs w:val="4"/>
              </w:rPr>
            </w:r>
          </w:p>
        </w:tc>
        <w:tc>
          <w:tcPr>
            <w:tcW w:w="123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3785" w:type="dxa"/>
            <w:tcBorders/>
            <w:shd w:fill="D5EBF6" w:val="clear"/>
            <w:vAlign w:val="center"/>
          </w:tcPr>
          <w:p>
            <w:pPr>
              <w:pStyle w:val="TableContents"/>
              <w:bidi w:val="0"/>
              <w:spacing w:before="0" w:after="0"/>
              <w:jc w:val="left"/>
              <w:rPr/>
            </w:pPr>
            <w:r>
              <w:rPr/>
              <w:t> </w:t>
            </w:r>
            <w:r>
              <w:rPr>
                <w:rFonts w:ascii="ARIAL" w:hAnsi="ARIAL"/>
                <w:sz w:val="22"/>
              </w:rPr>
              <w:t>James P. Keane</w:t>
            </w:r>
          </w:p>
        </w:tc>
        <w:tc>
          <w:tcPr>
            <w:tcW w:w="60" w:type="dxa"/>
            <w:tcBorders/>
            <w:shd w:fill="D5EBF6" w:val="clear"/>
            <w:vAlign w:val="center"/>
          </w:tcPr>
          <w:p>
            <w:pPr>
              <w:pStyle w:val="TableContents"/>
              <w:bidi w:val="0"/>
              <w:spacing w:before="0" w:after="283"/>
              <w:jc w:val="left"/>
              <w:rPr/>
            </w:pPr>
            <w:r>
              <w:rPr/>
              <w:t> </w:t>
            </w:r>
          </w:p>
        </w:tc>
        <w:tc>
          <w:tcPr>
            <w:tcW w:w="110" w:type="dxa"/>
            <w:tcBorders/>
            <w:shd w:fill="D5EBF6" w:val="clear"/>
            <w:vAlign w:val="center"/>
          </w:tcPr>
          <w:p>
            <w:pPr>
              <w:pStyle w:val="TableContents"/>
              <w:bidi w:val="0"/>
              <w:spacing w:before="0" w:after="283"/>
              <w:jc w:val="left"/>
              <w:rPr/>
            </w:pPr>
            <w:r>
              <w:rPr/>
              <w:t> </w:t>
            </w:r>
          </w:p>
        </w:tc>
        <w:tc>
          <w:tcPr>
            <w:tcW w:w="1470" w:type="dxa"/>
            <w:tcBorders/>
            <w:shd w:fill="D5EBF6" w:val="clear"/>
            <w:vAlign w:val="center"/>
          </w:tcPr>
          <w:p>
            <w:pPr>
              <w:pStyle w:val="TableContents"/>
              <w:bidi w:val="0"/>
              <w:spacing w:before="0" w:after="283"/>
              <w:jc w:val="center"/>
              <w:rPr/>
            </w:pPr>
            <w:r>
              <w:rPr/>
              <w:t>140,000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1" w:type="dxa"/>
            <w:tcBorders/>
            <w:shd w:fill="D5EBF6" w:val="clear"/>
            <w:vAlign w:val="center"/>
          </w:tcPr>
          <w:p>
            <w:pPr>
              <w:pStyle w:val="TableContents"/>
              <w:bidi w:val="0"/>
              <w:spacing w:before="0" w:after="283"/>
              <w:jc w:val="left"/>
              <w:rPr/>
            </w:pPr>
            <w:r>
              <w:rPr/>
              <w:t> </w:t>
            </w:r>
          </w:p>
        </w:tc>
        <w:tc>
          <w:tcPr>
            <w:tcW w:w="1359" w:type="dxa"/>
            <w:tcBorders/>
            <w:shd w:fill="D5EBF6" w:val="clear"/>
            <w:vAlign w:val="center"/>
          </w:tcPr>
          <w:p>
            <w:pPr>
              <w:pStyle w:val="TableContents"/>
              <w:bidi w:val="0"/>
              <w:spacing w:before="0" w:after="283"/>
              <w:jc w:val="center"/>
              <w:rPr/>
            </w:pPr>
            <w:r>
              <w:rPr/>
              <w:t>159,999</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40" w:type="dxa"/>
            <w:tcBorders/>
            <w:shd w:fill="D5EBF6" w:val="clear"/>
            <w:vAlign w:val="center"/>
          </w:tcPr>
          <w:p>
            <w:pPr>
              <w:pStyle w:val="TableContents"/>
              <w:bidi w:val="0"/>
              <w:spacing w:before="0" w:after="283"/>
              <w:jc w:val="right"/>
              <w:rPr/>
            </w:pPr>
            <w:r>
              <w:rPr/>
              <w:t>299,999 </w:t>
            </w:r>
          </w:p>
        </w:tc>
        <w:tc>
          <w:tcPr>
            <w:tcW w:w="75" w:type="dxa"/>
            <w:tcBorders/>
            <w:shd w:fill="D5EBF6"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pPr>
            <w:r>
              <w:rPr/>
              <w:t> </w:t>
            </w:r>
            <w:r>
              <w:rPr>
                <w:rFonts w:ascii="ARIAL" w:hAnsi="ARIAL"/>
                <w:sz w:val="22"/>
              </w:rPr>
              <w:t>Gerardo I. Lopez</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center"/>
              <w:rPr/>
            </w:pPr>
            <w:r>
              <w:rPr/>
              <w:t>115,000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center"/>
              <w:rPr/>
            </w:pPr>
            <w:r>
              <w:rPr/>
              <w:t>159,999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274,999 </w:t>
            </w:r>
          </w:p>
        </w:tc>
        <w:tc>
          <w:tcPr>
            <w:tcW w:w="75" w:type="dxa"/>
            <w:tcBorders/>
            <w:vAlign w:val="center"/>
          </w:tcPr>
          <w:p>
            <w:pPr>
              <w:pStyle w:val="TableContents"/>
              <w:bidi w:val="0"/>
              <w:spacing w:before="0" w:after="283"/>
              <w:jc w:val="left"/>
              <w:rPr/>
            </w:pPr>
            <w:r>
              <w:rPr/>
              <w:t> </w:t>
            </w:r>
          </w:p>
        </w:tc>
      </w:tr>
      <w:tr>
        <w:trPr/>
        <w:tc>
          <w:tcPr>
            <w:tcW w:w="3785" w:type="dxa"/>
            <w:tcBorders/>
            <w:shd w:fill="D5EBF6" w:val="clear"/>
            <w:vAlign w:val="center"/>
          </w:tcPr>
          <w:p>
            <w:pPr>
              <w:pStyle w:val="TableContents"/>
              <w:bidi w:val="0"/>
              <w:spacing w:before="0" w:after="283"/>
              <w:jc w:val="left"/>
              <w:rPr>
                <w:sz w:val="4"/>
                <w:szCs w:val="4"/>
              </w:rPr>
            </w:pPr>
            <w:r>
              <w:rPr>
                <w:sz w:val="4"/>
                <w:szCs w:val="4"/>
              </w:rPr>
            </w:r>
          </w:p>
        </w:tc>
        <w:tc>
          <w:tcPr>
            <w:tcW w:w="1700" w:type="dxa"/>
            <w:gridSpan w:val="4"/>
            <w:tcBorders/>
            <w:shd w:fill="D5EBF6" w:val="clear"/>
            <w:vAlign w:val="center"/>
          </w:tcPr>
          <w:p>
            <w:pPr>
              <w:pStyle w:val="TableContents"/>
              <w:bidi w:val="0"/>
              <w:spacing w:before="0" w:after="283"/>
              <w:jc w:val="left"/>
              <w:rPr>
                <w:sz w:val="4"/>
                <w:szCs w:val="4"/>
              </w:rPr>
            </w:pPr>
            <w:r>
              <w:rPr>
                <w:sz w:val="4"/>
                <w:szCs w:val="4"/>
              </w:rPr>
            </w:r>
          </w:p>
        </w:tc>
        <w:tc>
          <w:tcPr>
            <w:tcW w:w="1580" w:type="dxa"/>
            <w:gridSpan w:val="4"/>
            <w:tcBorders/>
            <w:shd w:fill="D5EBF6" w:val="clear"/>
            <w:vAlign w:val="center"/>
          </w:tcPr>
          <w:p>
            <w:pPr>
              <w:pStyle w:val="TableContents"/>
              <w:bidi w:val="0"/>
              <w:spacing w:before="0" w:after="283"/>
              <w:jc w:val="left"/>
              <w:rPr>
                <w:sz w:val="4"/>
                <w:szCs w:val="4"/>
              </w:rPr>
            </w:pPr>
            <w:r>
              <w:rPr>
                <w:sz w:val="4"/>
                <w:szCs w:val="4"/>
              </w:rPr>
            </w:r>
          </w:p>
        </w:tc>
        <w:tc>
          <w:tcPr>
            <w:tcW w:w="123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3785" w:type="dxa"/>
            <w:tcBorders/>
            <w:shd w:fill="D5EBF6" w:val="clear"/>
            <w:vAlign w:val="center"/>
          </w:tcPr>
          <w:p>
            <w:pPr>
              <w:pStyle w:val="TableContents"/>
              <w:bidi w:val="0"/>
              <w:spacing w:before="0" w:after="0"/>
              <w:jc w:val="left"/>
              <w:rPr/>
            </w:pPr>
            <w:r>
              <w:rPr/>
              <w:t> </w:t>
            </w:r>
            <w:r>
              <w:rPr>
                <w:rFonts w:ascii="ARIAL" w:hAnsi="ARIAL"/>
                <w:sz w:val="22"/>
              </w:rPr>
              <w:t>Gary H. Pilnick</w:t>
            </w:r>
          </w:p>
        </w:tc>
        <w:tc>
          <w:tcPr>
            <w:tcW w:w="60" w:type="dxa"/>
            <w:tcBorders/>
            <w:shd w:fill="D5EBF6" w:val="clear"/>
            <w:vAlign w:val="center"/>
          </w:tcPr>
          <w:p>
            <w:pPr>
              <w:pStyle w:val="TableContents"/>
              <w:bidi w:val="0"/>
              <w:spacing w:before="0" w:after="283"/>
              <w:jc w:val="left"/>
              <w:rPr/>
            </w:pPr>
            <w:r>
              <w:rPr/>
              <w:t> </w:t>
            </w:r>
          </w:p>
        </w:tc>
        <w:tc>
          <w:tcPr>
            <w:tcW w:w="110" w:type="dxa"/>
            <w:tcBorders/>
            <w:shd w:fill="D5EBF6" w:val="clear"/>
            <w:vAlign w:val="center"/>
          </w:tcPr>
          <w:p>
            <w:pPr>
              <w:pStyle w:val="TableContents"/>
              <w:bidi w:val="0"/>
              <w:spacing w:before="0" w:after="283"/>
              <w:jc w:val="left"/>
              <w:rPr/>
            </w:pPr>
            <w:r>
              <w:rPr/>
              <w:t> </w:t>
            </w:r>
          </w:p>
        </w:tc>
        <w:tc>
          <w:tcPr>
            <w:tcW w:w="1470" w:type="dxa"/>
            <w:tcBorders/>
            <w:shd w:fill="D5EBF6" w:val="clear"/>
            <w:vAlign w:val="center"/>
          </w:tcPr>
          <w:p>
            <w:pPr>
              <w:pStyle w:val="TableContents"/>
              <w:bidi w:val="0"/>
              <w:spacing w:before="0" w:after="283"/>
              <w:jc w:val="center"/>
              <w:rPr/>
            </w:pPr>
            <w:r>
              <w:rPr/>
              <w:t>74,560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1" w:type="dxa"/>
            <w:tcBorders/>
            <w:shd w:fill="D5EBF6" w:val="clear"/>
            <w:vAlign w:val="center"/>
          </w:tcPr>
          <w:p>
            <w:pPr>
              <w:pStyle w:val="TableContents"/>
              <w:bidi w:val="0"/>
              <w:spacing w:before="0" w:after="283"/>
              <w:jc w:val="left"/>
              <w:rPr/>
            </w:pPr>
            <w:r>
              <w:rPr/>
              <w:t> </w:t>
            </w:r>
          </w:p>
        </w:tc>
        <w:tc>
          <w:tcPr>
            <w:tcW w:w="1359" w:type="dxa"/>
            <w:tcBorders/>
            <w:shd w:fill="D5EBF6" w:val="clear"/>
            <w:vAlign w:val="center"/>
          </w:tcPr>
          <w:p>
            <w:pPr>
              <w:pStyle w:val="TableContents"/>
              <w:bidi w:val="0"/>
              <w:spacing w:before="0" w:after="283"/>
              <w:jc w:val="center"/>
              <w:rPr/>
            </w:pPr>
            <w:r>
              <w:rPr/>
              <w:t>159,999</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40" w:type="dxa"/>
            <w:tcBorders/>
            <w:shd w:fill="D5EBF6" w:val="clear"/>
            <w:vAlign w:val="center"/>
          </w:tcPr>
          <w:p>
            <w:pPr>
              <w:pStyle w:val="TableContents"/>
              <w:bidi w:val="0"/>
              <w:spacing w:before="0" w:after="283"/>
              <w:jc w:val="right"/>
              <w:rPr/>
            </w:pPr>
            <w:r>
              <w:rPr/>
              <w:t>234,559 </w:t>
            </w:r>
          </w:p>
        </w:tc>
        <w:tc>
          <w:tcPr>
            <w:tcW w:w="75" w:type="dxa"/>
            <w:tcBorders/>
            <w:shd w:fill="D5EBF6"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pPr>
            <w:r>
              <w:rPr/>
              <w:t> </w:t>
            </w:r>
            <w:r>
              <w:rPr>
                <w:rFonts w:ascii="ARIAL" w:hAnsi="ARIAL"/>
                <w:sz w:val="22"/>
              </w:rPr>
              <w:t>Judith A. Sprieser</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center"/>
              <w:rPr/>
            </w:pPr>
            <w:r>
              <w:rPr/>
              <w:t>140,000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center"/>
              <w:rPr/>
            </w:pPr>
            <w:r>
              <w:rPr/>
              <w:t>159,999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299,999 </w:t>
            </w:r>
          </w:p>
        </w:tc>
        <w:tc>
          <w:tcPr>
            <w:tcW w:w="75" w:type="dxa"/>
            <w:tcBorders/>
            <w:vAlign w:val="center"/>
          </w:tcPr>
          <w:p>
            <w:pPr>
              <w:pStyle w:val="TableContents"/>
              <w:bidi w:val="0"/>
              <w:spacing w:before="0" w:after="283"/>
              <w:jc w:val="left"/>
              <w:rPr/>
            </w:pPr>
            <w:r>
              <w:rPr/>
              <w:t> </w:t>
            </w:r>
          </w:p>
        </w:tc>
      </w:tr>
      <w:tr>
        <w:trPr/>
        <w:tc>
          <w:tcPr>
            <w:tcW w:w="3785" w:type="dxa"/>
            <w:tcBorders/>
            <w:shd w:fill="D5EBF6" w:val="clear"/>
            <w:vAlign w:val="center"/>
          </w:tcPr>
          <w:p>
            <w:pPr>
              <w:pStyle w:val="TableContents"/>
              <w:bidi w:val="0"/>
              <w:spacing w:before="0" w:after="283"/>
              <w:jc w:val="left"/>
              <w:rPr>
                <w:sz w:val="4"/>
                <w:szCs w:val="4"/>
              </w:rPr>
            </w:pPr>
            <w:r>
              <w:rPr>
                <w:sz w:val="4"/>
                <w:szCs w:val="4"/>
              </w:rPr>
            </w:r>
          </w:p>
        </w:tc>
        <w:tc>
          <w:tcPr>
            <w:tcW w:w="1700" w:type="dxa"/>
            <w:gridSpan w:val="4"/>
            <w:tcBorders/>
            <w:shd w:fill="D5EBF6" w:val="clear"/>
            <w:vAlign w:val="center"/>
          </w:tcPr>
          <w:p>
            <w:pPr>
              <w:pStyle w:val="TableContents"/>
              <w:bidi w:val="0"/>
              <w:spacing w:before="0" w:after="283"/>
              <w:jc w:val="left"/>
              <w:rPr>
                <w:sz w:val="4"/>
                <w:szCs w:val="4"/>
              </w:rPr>
            </w:pPr>
            <w:r>
              <w:rPr>
                <w:sz w:val="4"/>
                <w:szCs w:val="4"/>
              </w:rPr>
            </w:r>
          </w:p>
        </w:tc>
        <w:tc>
          <w:tcPr>
            <w:tcW w:w="1580" w:type="dxa"/>
            <w:gridSpan w:val="4"/>
            <w:tcBorders/>
            <w:shd w:fill="D5EBF6" w:val="clear"/>
            <w:vAlign w:val="center"/>
          </w:tcPr>
          <w:p>
            <w:pPr>
              <w:pStyle w:val="TableContents"/>
              <w:bidi w:val="0"/>
              <w:spacing w:before="0" w:after="283"/>
              <w:jc w:val="left"/>
              <w:rPr>
                <w:sz w:val="4"/>
                <w:szCs w:val="4"/>
              </w:rPr>
            </w:pPr>
            <w:r>
              <w:rPr>
                <w:sz w:val="4"/>
                <w:szCs w:val="4"/>
              </w:rPr>
            </w:r>
          </w:p>
        </w:tc>
        <w:tc>
          <w:tcPr>
            <w:tcW w:w="123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3785" w:type="dxa"/>
            <w:tcBorders/>
            <w:shd w:fill="D5EBF6" w:val="clear"/>
            <w:vAlign w:val="center"/>
          </w:tcPr>
          <w:p>
            <w:pPr>
              <w:pStyle w:val="TableContents"/>
              <w:bidi w:val="0"/>
              <w:spacing w:before="0" w:after="0"/>
              <w:jc w:val="left"/>
              <w:rPr/>
            </w:pPr>
            <w:r>
              <w:rPr/>
              <w:t> </w:t>
            </w:r>
            <w:r>
              <w:rPr>
                <w:rFonts w:ascii="ARIAL" w:hAnsi="ARIAL"/>
                <w:sz w:val="22"/>
              </w:rPr>
              <w:t>Stephanie P. Stahl</w:t>
            </w:r>
          </w:p>
        </w:tc>
        <w:tc>
          <w:tcPr>
            <w:tcW w:w="60" w:type="dxa"/>
            <w:tcBorders/>
            <w:shd w:fill="D5EBF6" w:val="clear"/>
            <w:vAlign w:val="center"/>
          </w:tcPr>
          <w:p>
            <w:pPr>
              <w:pStyle w:val="TableContents"/>
              <w:bidi w:val="0"/>
              <w:spacing w:before="0" w:after="283"/>
              <w:jc w:val="left"/>
              <w:rPr/>
            </w:pPr>
            <w:r>
              <w:rPr/>
              <w:t> </w:t>
            </w:r>
          </w:p>
        </w:tc>
        <w:tc>
          <w:tcPr>
            <w:tcW w:w="110" w:type="dxa"/>
            <w:tcBorders/>
            <w:shd w:fill="D5EBF6" w:val="clear"/>
            <w:vAlign w:val="center"/>
          </w:tcPr>
          <w:p>
            <w:pPr>
              <w:pStyle w:val="TableContents"/>
              <w:bidi w:val="0"/>
              <w:spacing w:before="0" w:after="283"/>
              <w:jc w:val="left"/>
              <w:rPr/>
            </w:pPr>
            <w:r>
              <w:rPr/>
              <w:t> </w:t>
            </w:r>
          </w:p>
        </w:tc>
        <w:tc>
          <w:tcPr>
            <w:tcW w:w="1470" w:type="dxa"/>
            <w:tcBorders/>
            <w:shd w:fill="D5EBF6" w:val="clear"/>
            <w:vAlign w:val="center"/>
          </w:tcPr>
          <w:p>
            <w:pPr>
              <w:pStyle w:val="TableContents"/>
              <w:bidi w:val="0"/>
              <w:spacing w:before="0" w:after="283"/>
              <w:jc w:val="center"/>
              <w:rPr/>
            </w:pPr>
            <w:r>
              <w:rPr/>
              <w:t>115,000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1" w:type="dxa"/>
            <w:tcBorders/>
            <w:shd w:fill="D5EBF6" w:val="clear"/>
            <w:vAlign w:val="center"/>
          </w:tcPr>
          <w:p>
            <w:pPr>
              <w:pStyle w:val="TableContents"/>
              <w:bidi w:val="0"/>
              <w:spacing w:before="0" w:after="283"/>
              <w:jc w:val="left"/>
              <w:rPr/>
            </w:pPr>
            <w:r>
              <w:rPr/>
              <w:t> </w:t>
            </w:r>
          </w:p>
        </w:tc>
        <w:tc>
          <w:tcPr>
            <w:tcW w:w="1359" w:type="dxa"/>
            <w:tcBorders/>
            <w:shd w:fill="D5EBF6" w:val="clear"/>
            <w:vAlign w:val="center"/>
          </w:tcPr>
          <w:p>
            <w:pPr>
              <w:pStyle w:val="TableContents"/>
              <w:bidi w:val="0"/>
              <w:spacing w:before="0" w:after="283"/>
              <w:jc w:val="center"/>
              <w:rPr/>
            </w:pPr>
            <w:r>
              <w:rPr/>
              <w:t>159,999</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40" w:type="dxa"/>
            <w:tcBorders/>
            <w:shd w:fill="D5EBF6" w:val="clear"/>
            <w:vAlign w:val="center"/>
          </w:tcPr>
          <w:p>
            <w:pPr>
              <w:pStyle w:val="TableContents"/>
              <w:bidi w:val="0"/>
              <w:spacing w:before="0" w:after="283"/>
              <w:jc w:val="right"/>
              <w:rPr/>
            </w:pPr>
            <w:r>
              <w:rPr/>
              <w:t>274,999 </w:t>
            </w:r>
          </w:p>
        </w:tc>
        <w:tc>
          <w:tcPr>
            <w:tcW w:w="75" w:type="dxa"/>
            <w:tcBorders/>
            <w:shd w:fill="D5EBF6"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pPr>
            <w:r>
              <w:rPr/>
              <w:t> </w:t>
            </w:r>
            <w:r>
              <w:rPr>
                <w:rFonts w:ascii="ARIAL" w:hAnsi="ARIAL"/>
                <w:sz w:val="22"/>
              </w:rPr>
              <w:t>Anthony Terry</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center"/>
              <w:rPr/>
            </w:pPr>
            <w:r>
              <w:rPr/>
              <w:t>115,000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center"/>
              <w:rPr/>
            </w:pPr>
            <w:r>
              <w:rPr/>
              <w:t>159,999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274,999 </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both"/>
        <w:rPr/>
      </w:pP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both"/>
              <w:rPr>
                <w:rFonts w:ascii="ARIAL" w:hAnsi="ARIAL"/>
                <w:sz w:val="18"/>
              </w:rPr>
            </w:pPr>
            <w:r>
              <w:rPr>
                <w:rFonts w:ascii="ARIAL" w:hAnsi="ARIAL"/>
                <w:i/>
                <w:sz w:val="18"/>
                <w:u w:val="single"/>
              </w:rPr>
              <w:t>Fees Earned or Paid in Cash</w:t>
            </w:r>
            <w:r>
              <w:rPr>
                <w:rFonts w:ascii="ARIAL" w:hAnsi="ARIAL"/>
                <w:sz w:val="18"/>
                <w:u w:val="single"/>
              </w:rPr>
              <w:t>.</w:t>
            </w:r>
            <w:r>
              <w:rPr>
                <w:rFonts w:ascii="ARIAL" w:hAnsi="ARIAL"/>
                <w:sz w:val="18"/>
              </w:rPr>
              <w:t xml:space="preserve"> Includes all meeting and retainer fees paid quarterly in cash or deferred pursuant to the Company’s 2008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both"/>
              <w:rPr>
                <w:rFonts w:ascii="ARIAL" w:hAnsi="ARIAL"/>
                <w:sz w:val="18"/>
              </w:rPr>
            </w:pPr>
            <w:r>
              <w:rPr>
                <w:rFonts w:ascii="ARIAL" w:hAnsi="ARIAL"/>
                <w:i/>
                <w:sz w:val="18"/>
                <w:u w:val="single"/>
              </w:rPr>
              <w:t>Stock Awards.</w:t>
            </w:r>
            <w:r>
              <w:rPr>
                <w:rFonts w:ascii="ARIAL" w:hAnsi="ARIAL"/>
                <w:sz w:val="18"/>
              </w:rPr>
              <w:t xml:space="preserve"> The amounts in this column reflect the grant date fair value, calculated in accordance with ASC 718, of the award of 30,418 RSUs to each of Mr. Campbell, Mr. Keane, Mr. Lopez, Mr. Pilnick, Ms. Ryan Berman, Ms. Sprieser, Ms. Stahl, and Mr. Terry on May 8, 2025 under the 2022 Incentive Plan. Mr. Campbell and Ms. Stahl elected to defer receipt of their RSUs granted in 2025. Their deferred RSUs will convert to an equal number of shares of the Company’s common stock after they leave the Board, and, at that time, they will also receive the cash value of reinvested dividends paid on the Company’s common stock since the end of the Vesting Period (as defined below). As of December 31, 2025, each of the non-employee directors then serving on the Board held 30,418 unvested RSUs. </w:t>
            </w:r>
          </w:p>
        </w:tc>
      </w:tr>
    </w:tbl>
    <w:p>
      <w:pPr>
        <w:pStyle w:val="TextBody"/>
        <w:bidi w:val="0"/>
        <w:spacing w:before="120" w:after="0"/>
        <w:jc w:val="both"/>
        <w:rPr>
          <w:rFonts w:ascii="ARIAL" w:hAnsi="ARIAL"/>
          <w:sz w:val="22"/>
        </w:rPr>
      </w:pPr>
      <w:r>
        <w:rPr>
          <w:rFonts w:ascii="ARIAL" w:hAnsi="ARIAL"/>
          <w:sz w:val="22"/>
        </w:rPr>
        <w:t xml:space="preserve">Non-employee directors of the Company are paid an annual cash retainer of $115,000, and the Chairperson of the Board is paid an additional annual retainer of $200,000 (for a total cash retainer of $315,000). Additional annual cash retainers are paid to Committee Chairs as follows: Audit Committee, $25,000; Nominating/Governance Committee, $25,000; and Compensation and Human Capital Committee, $25,000. Annual cash retainers are paid in quarterly installments, and non-employee directors who join or leave mid-year may receive adjustments to their quarterly installments accordingly. Each non-employee director is eligible to participate in the Company’s 2008 Plan and is permitted to defer up to 100% of director fees under the terms of that plan. This deferral election may be made once per calendar year and is irrevocable for cash fees earned and deferred while the director’s election was in effect. The Company also provides reimbursement, on a quarterly basis, to directors for their purchase of Company products, up to an annual limit of $3,500. </w:t>
      </w:r>
    </w:p>
    <w:p>
      <w:pPr>
        <w:pStyle w:val="TextBody"/>
        <w:bidi w:val="0"/>
        <w:spacing w:before="240" w:after="0"/>
        <w:jc w:val="both"/>
        <w:rPr>
          <w:rFonts w:ascii="ARIAL" w:hAnsi="ARIAL"/>
          <w:sz w:val="22"/>
        </w:rPr>
      </w:pPr>
      <w:r>
        <w:rPr>
          <w:rFonts w:ascii="ARIAL" w:hAnsi="ARIAL"/>
          <w:sz w:val="22"/>
        </w:rPr>
        <w:t xml:space="preserve">Non-employee directors receive an annual RSU award valued at $160,000, with the number of RSUs determined by the fair market value of a share of the Company’s common stock on the date of grant. These awards are typically approved at the regular May Board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meeting and effective as of the date of the annual meeting of stockholders, and vest on the earlier of: (i) the first anniversary of the date of the grant; or (ii) the next annual meeting of the Company’s stockholders, which is at least 50 weeks after the immediately preceding year’s annual meeting of the Company’s stockholders, in each case provided the director remains on the Board until such date (the “</w:t>
      </w:r>
      <w:r>
        <w:rPr>
          <w:rFonts w:ascii="ARIAL" w:hAnsi="ARIAL"/>
          <w:b/>
          <w:sz w:val="22"/>
        </w:rPr>
        <w:t>Vesting Period</w:t>
      </w:r>
      <w:r>
        <w:rPr>
          <w:rFonts w:ascii="ARIAL" w:hAnsi="ARIAL"/>
          <w:sz w:val="22"/>
        </w:rPr>
        <w:t xml:space="preserve">”). During the Vesting Period, when a cash dividend is paid on the Company’s common stock, a director holding an unvested RSU award is credited with a corresponding dividend equivalent with respect to his or her RSUs, which will be paid in cash at the end of the vesting period, and any such dividend equivalents relating to RSUs that are forfeited shall also be forfeited. If the director’s service on the Board terminates prior to the vesting date of an RSU or option award due to death, disability (as determined by the Compensation and Human Capital Committee) or retirement in accordance with the Company’s retirement policy for directors, the director will become fully vested in his RSU award. The 2022 Incentive Plan also allows discretionary grants to non-employee directors of stock options, stock awards and stock units. </w:t>
      </w:r>
    </w:p>
    <w:p>
      <w:pPr>
        <w:pStyle w:val="TextBody"/>
        <w:bidi w:val="0"/>
        <w:spacing w:before="240" w:after="0"/>
        <w:jc w:val="both"/>
        <w:rPr>
          <w:rFonts w:ascii="ARIAL" w:hAnsi="ARIAL"/>
          <w:sz w:val="22"/>
        </w:rPr>
      </w:pPr>
      <w:r>
        <w:rPr>
          <w:rFonts w:ascii="ARIAL" w:hAnsi="ARIAL"/>
          <w:sz w:val="22"/>
        </w:rPr>
        <w:t xml:space="preserve">The 2008 Plan permits non-employee directors of the Company to defer receipt of any common stock of the Company that such non-employee directors may otherwise be entitled to receive at the end of the vesting period for any annual RSU award. Directors who elect to defer annual RSU vesting receive, on the scheduled RSU vesting date, a quantity of phantom stock units that is equal to the quantity of their deferred RSUs. Pursuant to the 2008 Plan, non-employee directors holding phantom stock units converted from annual RSU awards will receive in exchange for their phantom stock units an equal number of shares of Company common stock after such non-employee director’s separation from the Board. In this case, notional dividend reinvestment applies to the phantom stock units during the deferral period, so that, at the end of the deferral period, the director receives the shares of common stock originally granted as well as the cash value of all dividends paid and reinvested during the deferral period. Other than the timing of when shares of Company common stock may be received by non-employee directors, the deferral election provisions do not otherwise materially alter RSU awards granted to all directors, which continue to be administered and redeemed in accordance with the terms of the RSU awards and the related incentive plan. This deferral election may be made once per calendar year and is irrevocable for RSU awards granted while the director’s election was in effect. </w:t>
      </w:r>
    </w:p>
    <w:p>
      <w:pPr>
        <w:pStyle w:val="TextBody"/>
        <w:bidi w:val="0"/>
        <w:spacing w:before="360" w:after="0"/>
        <w:jc w:val="left"/>
        <w:rPr>
          <w:rFonts w:ascii="ARIAL" w:hAnsi="ARIAL"/>
          <w:b/>
          <w:color w:val="248EC3"/>
          <w:sz w:val="22"/>
        </w:rPr>
      </w:pPr>
      <w:r>
        <w:rPr>
          <w:rFonts w:ascii="ARIAL" w:hAnsi="ARIAL"/>
          <w:b/>
          <w:color w:val="248EC3"/>
          <w:sz w:val="22"/>
        </w:rPr>
        <w:t xml:space="preserve">PAY RATIO </w:t>
      </w:r>
    </w:p>
    <w:p>
      <w:pPr>
        <w:pStyle w:val="TextBody"/>
        <w:bidi w:val="0"/>
        <w:spacing w:before="240" w:after="0"/>
        <w:jc w:val="both"/>
        <w:rPr>
          <w:rFonts w:ascii="ARIAL" w:hAnsi="ARIAL"/>
          <w:sz w:val="22"/>
        </w:rPr>
      </w:pPr>
      <w:r>
        <w:rPr>
          <w:rFonts w:ascii="ARIAL" w:hAnsi="ARIAL"/>
          <w:sz w:val="22"/>
        </w:rPr>
        <w:t>The Dodd-Frank Act and the compensation disclosure rules of the SEC require the Company to disclose the ratio of the annual total compensation of the CEO (the “</w:t>
      </w:r>
      <w:r>
        <w:rPr>
          <w:rFonts w:ascii="ARIAL" w:hAnsi="ARIAL"/>
          <w:b/>
          <w:sz w:val="22"/>
        </w:rPr>
        <w:t>CEO Compensation</w:t>
      </w:r>
      <w:r>
        <w:rPr>
          <w:rFonts w:ascii="ARIAL" w:hAnsi="ARIAL"/>
          <w:sz w:val="22"/>
        </w:rPr>
        <w:t>”) to the median of the annual total compensation of the employees of the Company and its consolidated subsidiaries (other than the CEO) (the “</w:t>
      </w:r>
      <w:r>
        <w:rPr>
          <w:rFonts w:ascii="ARIAL" w:hAnsi="ARIAL"/>
          <w:b/>
          <w:sz w:val="22"/>
        </w:rPr>
        <w:t>Median Annual Compensation</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For 2025, the Median Annual Compensation was $40,851 and the CEO Compensation was $12,497,912; accordingly, the CEO Compensation was approximately 306 times that of the Median Annual Compensation. This calculated “pay ratio” is a reasonable estimate determined in a manner consistent with Item 402(u) of Regulation S-K. The Company refers to the employee who received the Median Annual Compensation as the “median employee.” </w:t>
      </w:r>
    </w:p>
    <w:p>
      <w:pPr>
        <w:pStyle w:val="TextBody"/>
        <w:bidi w:val="0"/>
        <w:spacing w:before="240" w:after="0"/>
        <w:jc w:val="both"/>
        <w:rPr>
          <w:rFonts w:ascii="ARIAL" w:hAnsi="ARIAL"/>
          <w:sz w:val="22"/>
        </w:rPr>
      </w:pPr>
      <w:r>
        <w:rPr>
          <w:rFonts w:ascii="ARIAL" w:hAnsi="ARIAL"/>
          <w:sz w:val="22"/>
        </w:rPr>
        <w:t xml:space="preserve">There have been no changes to our employee population or employee compensation arrangements during the last fiscal year that we believe would significantly affect our pay ratio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disclosure and, as a result, we are not required to re-identify our median employee for 2025. However, we used a different median employee for 2025 because of a change in the circumstances of the original median employee who was identified in 2024 that we believe would result in a significant change in our pay ratio disclosure. As permitted by SEC rules, the new median employee used for 2025 is an employee whose compensation was substantially similar to the compensation of the original median employee from 2024, based on the methodology used to select the original median employee. </w:t>
      </w:r>
    </w:p>
    <w:p>
      <w:pPr>
        <w:pStyle w:val="TextBody"/>
        <w:bidi w:val="0"/>
        <w:spacing w:before="240" w:after="0"/>
        <w:jc w:val="both"/>
        <w:rPr>
          <w:rFonts w:ascii="ARIAL" w:hAnsi="ARIAL"/>
          <w:sz w:val="22"/>
        </w:rPr>
      </w:pPr>
      <w:r>
        <w:rPr>
          <w:rFonts w:ascii="ARIAL" w:hAnsi="ARIAL"/>
          <w:sz w:val="22"/>
        </w:rPr>
        <w:t xml:space="preserve">The Company used the following methodology to make the determinations for identifying the original median employee: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As of December 31, 2024 (the “</w:t>
            </w:r>
            <w:r>
              <w:rPr>
                <w:rFonts w:ascii="ARIAL" w:hAnsi="ARIAL"/>
                <w:b/>
                <w:sz w:val="22"/>
              </w:rPr>
              <w:t>Determination Date</w:t>
            </w:r>
            <w:r>
              <w:rPr>
                <w:rFonts w:ascii="ARIAL" w:hAnsi="ARIAL"/>
                <w:sz w:val="22"/>
              </w:rPr>
              <w:t xml:space="preserve">”), the Company’s employee population consisted of 23,623 individuals (other than the CEO) working at the Company and its consolidated subsidiaries, with 10,521, or approximately 45%, of these individuals located in the United States and Canada and 13,102, or approximately 55%, of these individuals located outside the United States and Canada.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The pay ratio disclosure rules provide an exemption for companies to exclude non-U.S. employees from the median employee calculation if all employees in a particular jurisdiction (and the total number of employees excluded from all jurisdictions) account for 5% or less of the company’s total number of employees. The Company applied this de minimis exemption when identifying the median employee by excluding 1,113 employees in the following jurisdictions: Argentina (175), Chile (44), Colombia (106), Hungary (126), India (566), South Africa (10), Turkey (28), and Venezuela (58). After taking into account the de minimis exemption, 22,510 employees were considered when identifying the median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To identify the original median employee from the remaining 22,510 employees, the Company conducted an analysis of the compensation of its employee population as of the Determination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The Company selected base salary or base wages for the period beginning on January 1, 2024 and ending on December 31, 2024 as our consistently applied compensation measure, as it reasonably reflects the annual compensation of the Company’s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The Company then selected the original median employee from within that group based on the consistently applied compensation measure. The Company annualized compensation of all permanent employees who were hired in 2024 but did not make a full-time equivalent adjustment for any part-time employee. </w:t>
            </w:r>
          </w:p>
        </w:tc>
      </w:tr>
    </w:tbl>
    <w:p>
      <w:pPr>
        <w:pStyle w:val="TextBody"/>
        <w:bidi w:val="0"/>
        <w:spacing w:before="240" w:after="0"/>
        <w:jc w:val="both"/>
        <w:rPr>
          <w:rFonts w:ascii="ARIAL" w:hAnsi="ARIAL"/>
          <w:sz w:val="22"/>
        </w:rPr>
      </w:pPr>
      <w:r>
        <w:rPr>
          <w:rFonts w:ascii="ARIAL" w:hAnsi="ARIAL"/>
          <w:sz w:val="22"/>
        </w:rPr>
        <w:t>The CEO Compensation for purposes of this disclosure represents the total compensation reported in the “</w:t>
      </w:r>
      <w:r>
        <w:rPr>
          <w:rFonts w:ascii="ARIAL" w:hAnsi="ARIAL"/>
          <w:i/>
          <w:sz w:val="22"/>
        </w:rPr>
        <w:t>Total</w:t>
      </w:r>
      <w:r>
        <w:rPr>
          <w:rFonts w:ascii="ARIAL" w:hAnsi="ARIAL"/>
          <w:sz w:val="22"/>
        </w:rPr>
        <w:t>” column of the “</w:t>
      </w:r>
      <w:r>
        <w:rPr>
          <w:rFonts w:ascii="ARIAL" w:hAnsi="ARIAL"/>
          <w:i/>
          <w:sz w:val="22"/>
        </w:rPr>
        <w:t>2025 Summary Compensation Table”</w:t>
      </w:r>
      <w:r>
        <w:rPr>
          <w:rFonts w:ascii="ARIAL" w:hAnsi="ARIAL"/>
          <w:sz w:val="22"/>
        </w:rPr>
        <w:t xml:space="preserve"> for Mr. Peterson. </w:t>
      </w:r>
    </w:p>
    <w:p>
      <w:pPr>
        <w:pStyle w:val="TextBody"/>
        <w:bidi w:val="0"/>
        <w:spacing w:before="240" w:after="0"/>
        <w:jc w:val="both"/>
        <w:rPr>
          <w:rFonts w:ascii="ARIAL" w:hAnsi="ARIAL"/>
          <w:sz w:val="22"/>
        </w:rPr>
      </w:pPr>
      <w:r>
        <w:rPr>
          <w:rFonts w:ascii="ARIAL" w:hAnsi="ARIAL"/>
          <w:sz w:val="22"/>
        </w:rPr>
        <w:t xml:space="preserve">This ratio is a reasonable estimate calculated using a methodology consistent with the SEC rules, as described above. As the SEC rules allow for companies to adopt a wide range of methodologies, to apply country exclusions and to make reasonable estimates and assumptions that reflect their compensation practices to identify the median employee and calculate the CEO pay ratio, the pay ratios reported by other companies may not be comparable to the Company’s pay ratio reported above.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48EC3"/>
          <w:sz w:val="22"/>
        </w:rPr>
      </w:pPr>
      <w:r>
        <w:rPr>
          <w:rFonts w:ascii="ARIAL" w:hAnsi="ARIAL"/>
          <w:b/>
          <w:color w:val="248EC3"/>
          <w:sz w:val="22"/>
        </w:rPr>
        <w:t xml:space="preserve">PAY VERSUS PERFORMANCE TABLE </w:t>
      </w:r>
    </w:p>
    <w:p>
      <w:pPr>
        <w:pStyle w:val="TextBody"/>
        <w:bidi w:val="0"/>
        <w:spacing w:before="0" w:after="0"/>
        <w:jc w:val="left"/>
        <w:rPr/>
      </w:pPr>
      <w:r>
        <w:rPr/>
        <w:t> </w:t>
      </w:r>
    </w:p>
    <w:tbl>
      <w:tblPr>
        <w:tblW w:w="13069" w:type="dxa"/>
        <w:jc w:val="left"/>
        <w:tblInd w:w="0" w:type="dxa"/>
        <w:tblLayout w:type="fixed"/>
        <w:tblCellMar>
          <w:top w:w="0" w:type="dxa"/>
          <w:left w:w="0" w:type="dxa"/>
          <w:bottom w:w="0" w:type="dxa"/>
          <w:right w:w="0" w:type="dxa"/>
        </w:tblCellMar>
      </w:tblPr>
      <w:tblGrid>
        <w:gridCol w:w="335"/>
        <w:gridCol w:w="60"/>
        <w:gridCol w:w="116"/>
        <w:gridCol w:w="1374"/>
        <w:gridCol w:w="60"/>
        <w:gridCol w:w="60"/>
        <w:gridCol w:w="85"/>
        <w:gridCol w:w="1015"/>
        <w:gridCol w:w="60"/>
        <w:gridCol w:w="60"/>
        <w:gridCol w:w="109"/>
        <w:gridCol w:w="1381"/>
        <w:gridCol w:w="60"/>
        <w:gridCol w:w="60"/>
        <w:gridCol w:w="78"/>
        <w:gridCol w:w="932"/>
        <w:gridCol w:w="60"/>
        <w:gridCol w:w="60"/>
        <w:gridCol w:w="94"/>
        <w:gridCol w:w="1006"/>
        <w:gridCol w:w="60"/>
        <w:gridCol w:w="60"/>
        <w:gridCol w:w="83"/>
        <w:gridCol w:w="942"/>
        <w:gridCol w:w="60"/>
        <w:gridCol w:w="60"/>
        <w:gridCol w:w="251"/>
        <w:gridCol w:w="1029"/>
        <w:gridCol w:w="222"/>
        <w:gridCol w:w="222"/>
        <w:gridCol w:w="251"/>
        <w:gridCol w:w="1029"/>
        <w:gridCol w:w="60"/>
        <w:gridCol w:w="60"/>
        <w:gridCol w:w="132"/>
        <w:gridCol w:w="638"/>
        <w:gridCol w:w="60"/>
        <w:gridCol w:w="60"/>
        <w:gridCol w:w="111"/>
        <w:gridCol w:w="539"/>
        <w:gridCol w:w="75"/>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5" w:type="dxa"/>
            <w:vMerge w:val="restart"/>
            <w:tcBorders>
              <w:bottom w:val="single" w:sz="6" w:space="0" w:color="000000"/>
            </w:tcBorders>
            <w:tcMar>
              <w:bottom w:w="28" w:type="dxa"/>
            </w:tcMar>
            <w:vAlign w:val="center"/>
          </w:tcPr>
          <w:p>
            <w:pPr>
              <w:pStyle w:val="TableContents"/>
              <w:bidi w:val="0"/>
              <w:spacing w:before="0" w:after="0"/>
              <w:jc w:val="center"/>
              <w:rPr/>
            </w:pPr>
            <w:r>
              <w:rPr/>
              <w:t> </w:t>
            </w:r>
            <w:r>
              <w:rPr>
                <w:rFonts w:ascii="ARIAL" w:hAnsi="ARIAL"/>
                <w:b/>
                <w:sz w:val="14"/>
              </w:rPr>
              <w:t>Year</w:t>
            </w:r>
          </w:p>
          <w:p>
            <w:pPr>
              <w:pStyle w:val="TableContents"/>
              <w:bidi w:val="0"/>
              <w:spacing w:before="0" w:after="20"/>
              <w:jc w:val="left"/>
              <w:rPr/>
            </w:pPr>
            <w:r>
              <w:rPr/>
              <w:t> </w:t>
            </w:r>
            <w:r>
              <w:rPr>
                <w:rFonts w:ascii="ARIAL" w:hAnsi="ARIAL"/>
                <w:b/>
                <w:sz w:val="14"/>
              </w:rPr>
              <w:t>(a)</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gridSpan w:val="2"/>
            <w:vMerge w:val="restart"/>
            <w:tcBorders>
              <w:bottom w:val="single" w:sz="6" w:space="0" w:color="000000"/>
            </w:tcBorders>
            <w:tcMar>
              <w:bottom w:w="28" w:type="dxa"/>
            </w:tcMar>
            <w:vAlign w:val="center"/>
          </w:tcPr>
          <w:p>
            <w:pPr>
              <w:pStyle w:val="TableContents"/>
              <w:bidi w:val="0"/>
              <w:spacing w:before="0" w:after="0"/>
              <w:jc w:val="center"/>
              <w:rPr>
                <w:b/>
              </w:rPr>
            </w:pPr>
            <w:r>
              <w:rPr>
                <w:b/>
              </w:rPr>
              <w:t>Summary</w:t>
              <w:br/>
              <w:t>Compensation</w:t>
              <w:br/>
              <w:t>Table (“SCT”)</w:t>
              <w:br/>
              <w:t>Total for PEO</w:t>
              <w:br/>
              <w:t>1 (Peterson)</w:t>
            </w:r>
          </w:p>
          <w:p>
            <w:pPr>
              <w:pStyle w:val="TableContents"/>
              <w:bidi w:val="0"/>
              <w:spacing w:before="0" w:after="0"/>
              <w:jc w:val="center"/>
              <w:rPr>
                <w:b/>
              </w:rPr>
            </w:pPr>
            <w:r>
              <w:rPr>
                <w:b/>
              </w:rPr>
              <w:t>(b-1)($)</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gridSpan w:val="2"/>
            <w:vMerge w:val="restart"/>
            <w:tcBorders>
              <w:bottom w:val="single" w:sz="6" w:space="0" w:color="000000"/>
            </w:tcBorders>
            <w:tcMar>
              <w:bottom w:w="28" w:type="dxa"/>
            </w:tcMar>
            <w:vAlign w:val="center"/>
          </w:tcPr>
          <w:p>
            <w:pPr>
              <w:pStyle w:val="TableContents"/>
              <w:bidi w:val="0"/>
              <w:spacing w:before="0" w:after="0"/>
              <w:jc w:val="center"/>
              <w:rPr>
                <w:b/>
              </w:rPr>
            </w:pPr>
            <w:r>
              <w:rPr>
                <w:b/>
              </w:rPr>
              <w:t>SCT Total</w:t>
              <w:br/>
              <w:t>for PEO 2</w:t>
              <w:br/>
              <w:t>(Saligram)</w:t>
            </w:r>
          </w:p>
          <w:p>
            <w:pPr>
              <w:pStyle w:val="TableContents"/>
              <w:bidi w:val="0"/>
              <w:spacing w:before="0" w:after="0"/>
              <w:jc w:val="center"/>
              <w:rPr>
                <w:b/>
              </w:rPr>
            </w:pPr>
            <w:r>
              <w:rPr>
                <w:b/>
              </w:rPr>
              <w:t>(b-2)($)</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gridSpan w:val="2"/>
            <w:vMerge w:val="restart"/>
            <w:tcBorders>
              <w:bottom w:val="single" w:sz="6" w:space="0" w:color="000000"/>
            </w:tcBorders>
            <w:tcMar>
              <w:bottom w:w="28" w:type="dxa"/>
            </w:tcMar>
            <w:vAlign w:val="center"/>
          </w:tcPr>
          <w:p>
            <w:pPr>
              <w:pStyle w:val="TableContents"/>
              <w:bidi w:val="0"/>
              <w:spacing w:before="0" w:after="0"/>
              <w:jc w:val="center"/>
              <w:rPr>
                <w:b/>
              </w:rPr>
            </w:pPr>
            <w:r>
              <w:rPr>
                <w:b/>
              </w:rPr>
              <w:t>Compensation</w:t>
              <w:br/>
              <w:t>Actually Paid</w:t>
              <w:br/>
              <w:t>(“CAP”) to</w:t>
              <w:br/>
              <w:t>PEO 1</w:t>
              <w:br/>
              <w:t>(Peterson)</w:t>
            </w:r>
          </w:p>
          <w:p>
            <w:pPr>
              <w:pStyle w:val="TableContents"/>
              <w:bidi w:val="0"/>
              <w:spacing w:before="0" w:after="0"/>
              <w:jc w:val="center"/>
              <w:rPr>
                <w:b/>
              </w:rPr>
            </w:pPr>
            <w:r>
              <w:rPr>
                <w:b/>
              </w:rPr>
              <w:t>(c-1)($)(1)(2)</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vMerge w:val="restart"/>
            <w:tcBorders>
              <w:bottom w:val="single" w:sz="6" w:space="0" w:color="000000"/>
            </w:tcBorders>
            <w:tcMar>
              <w:bottom w:w="28" w:type="dxa"/>
            </w:tcMar>
            <w:vAlign w:val="center"/>
          </w:tcPr>
          <w:p>
            <w:pPr>
              <w:pStyle w:val="TableContents"/>
              <w:bidi w:val="0"/>
              <w:spacing w:before="0" w:after="0"/>
              <w:jc w:val="center"/>
              <w:rPr>
                <w:b/>
              </w:rPr>
            </w:pPr>
            <w:r>
              <w:rPr>
                <w:b/>
              </w:rPr>
              <w:t>CAP to</w:t>
              <w:br/>
              <w:t>PEO 2</w:t>
              <w:br/>
              <w:t>(Saligram)</w:t>
            </w:r>
          </w:p>
          <w:p>
            <w:pPr>
              <w:pStyle w:val="TableContents"/>
              <w:bidi w:val="0"/>
              <w:spacing w:before="0" w:after="0"/>
              <w:jc w:val="center"/>
              <w:rPr>
                <w:b/>
              </w:rPr>
            </w:pPr>
            <w:r>
              <w:rPr>
                <w:b/>
              </w:rPr>
              <w:t>(c-2)($)(1)(2)</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gridSpan w:val="2"/>
            <w:vMerge w:val="restart"/>
            <w:tcBorders>
              <w:bottom w:val="single" w:sz="6" w:space="0" w:color="000000"/>
            </w:tcBorders>
            <w:tcMar>
              <w:bottom w:w="28" w:type="dxa"/>
            </w:tcMar>
            <w:vAlign w:val="center"/>
          </w:tcPr>
          <w:p>
            <w:pPr>
              <w:pStyle w:val="TableContents"/>
              <w:bidi w:val="0"/>
              <w:spacing w:before="0" w:after="0"/>
              <w:jc w:val="center"/>
              <w:rPr>
                <w:b/>
              </w:rPr>
            </w:pPr>
            <w:r>
              <w:rPr>
                <w:b/>
              </w:rPr>
              <w:t>Average</w:t>
              <w:br/>
              <w:t>SCT Total</w:t>
              <w:br/>
              <w:t>for Non-</w:t>
              <w:br/>
              <w:t>PEO</w:t>
              <w:br/>
              <w:t>NEOs</w:t>
              <w:br/>
              <w:t>(d)($)</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gridSpan w:val="2"/>
            <w:vMerge w:val="restart"/>
            <w:tcBorders>
              <w:bottom w:val="single" w:sz="6" w:space="0" w:color="000000"/>
            </w:tcBorders>
            <w:tcMar>
              <w:bottom w:w="28" w:type="dxa"/>
            </w:tcMar>
            <w:vAlign w:val="center"/>
          </w:tcPr>
          <w:p>
            <w:pPr>
              <w:pStyle w:val="TableContents"/>
              <w:bidi w:val="0"/>
              <w:spacing w:before="0" w:after="0"/>
              <w:jc w:val="center"/>
              <w:rPr>
                <w:b/>
              </w:rPr>
            </w:pPr>
            <w:r>
              <w:rPr>
                <w:b/>
              </w:rPr>
              <w:t>Average</w:t>
              <w:br/>
              <w:t>CAP to</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br/>
              <w:t>(e)($)(1)(2)</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4" w:type="dxa"/>
            <w:gridSpan w:val="6"/>
            <w:tcBorders/>
            <w:vAlign w:val="center"/>
          </w:tcPr>
          <w:p>
            <w:pPr>
              <w:pStyle w:val="TableContents"/>
              <w:bidi w:val="0"/>
              <w:spacing w:before="0" w:after="0"/>
              <w:jc w:val="center"/>
              <w:rPr>
                <w:b/>
              </w:rPr>
            </w:pPr>
            <w:r>
              <w:rPr>
                <w:b/>
              </w:rPr>
              <w:t>Value of Initial Fixed $100</w:t>
              <w:br/>
              <w:t>Investment Based on:</w:t>
              <w:br/>
              <w:t>($)</w:t>
            </w:r>
          </w:p>
        </w:tc>
        <w:tc>
          <w:tcPr>
            <w:tcW w:w="60" w:type="dxa"/>
            <w:tcBorders/>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gridSpan w:val="2"/>
            <w:vMerge w:val="restart"/>
            <w:tcBorders>
              <w:bottom w:val="single" w:sz="6" w:space="0" w:color="000000"/>
            </w:tcBorders>
            <w:tcMar>
              <w:bottom w:w="28" w:type="dxa"/>
            </w:tcMar>
            <w:vAlign w:val="center"/>
          </w:tcPr>
          <w:p>
            <w:pPr>
              <w:pStyle w:val="TableContents"/>
              <w:bidi w:val="0"/>
              <w:spacing w:before="0" w:after="0"/>
              <w:jc w:val="center"/>
              <w:rPr>
                <w:b/>
              </w:rPr>
            </w:pPr>
            <w:r>
              <w:rPr>
                <w:b/>
              </w:rPr>
              <w:t>Net</w:t>
              <w:br/>
              <w:t>Income</w:t>
              <w:br/>
              <w:t>(h)($M)(4)</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gridSpan w:val="2"/>
            <w:vMerge w:val="restart"/>
            <w:tcBorders>
              <w:bottom w:val="single" w:sz="6" w:space="0" w:color="000000"/>
            </w:tcBorders>
            <w:tcMar>
              <w:bottom w:w="28" w:type="dxa"/>
            </w:tcMar>
            <w:vAlign w:val="center"/>
          </w:tcPr>
          <w:p>
            <w:pPr>
              <w:pStyle w:val="TableContents"/>
              <w:bidi w:val="0"/>
              <w:spacing w:before="0" w:after="0"/>
              <w:jc w:val="center"/>
              <w:rPr>
                <w:rFonts w:ascii="ARIAL" w:hAnsi="ARIAL"/>
                <w:b/>
                <w:sz w:val="14"/>
              </w:rPr>
            </w:pPr>
            <w:r>
              <w:rPr>
                <w:rFonts w:ascii="ARIAL" w:hAnsi="ARIAL"/>
                <w:b/>
                <w:sz w:val="14"/>
              </w:rPr>
              <w:t>Company</w:t>
              <w:br/>
              <w:t>Selected</w:t>
            </w:r>
          </w:p>
          <w:p>
            <w:pPr>
              <w:pStyle w:val="TableContents"/>
              <w:bidi w:val="0"/>
              <w:spacing w:before="0" w:after="20"/>
              <w:jc w:val="center"/>
              <w:rPr>
                <w:rFonts w:ascii="ARIAL" w:hAnsi="ARIAL"/>
                <w:b/>
                <w:sz w:val="14"/>
              </w:rPr>
            </w:pPr>
            <w:r>
              <w:rPr>
                <w:rFonts w:ascii="ARIAL" w:hAnsi="ARIAL"/>
                <w:b/>
                <w:sz w:val="14"/>
              </w:rPr>
              <w:t>Measure -</w:t>
              <w:br/>
              <w:t>Adjusted</w:t>
              <w:br/>
              <w:t>Operating</w:t>
              <w:br/>
              <w:t>Cash</w:t>
              <w:br/>
              <w:t>Flow</w:t>
              <w:br/>
              <w:t>(i)($M)(5)</w:t>
            </w:r>
          </w:p>
        </w:tc>
        <w:tc>
          <w:tcPr>
            <w:tcW w:w="75"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5"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490"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100"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490"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010"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100"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025"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6" w:space="0" w:color="000000"/>
            </w:tcBorders>
            <w:tcMar>
              <w:bottom w:w="28" w:type="dxa"/>
            </w:tcMar>
            <w:vAlign w:val="center"/>
          </w:tcPr>
          <w:p>
            <w:pPr>
              <w:pStyle w:val="TableContents"/>
              <w:bidi w:val="0"/>
              <w:spacing w:before="0" w:after="0"/>
              <w:jc w:val="center"/>
              <w:rPr>
                <w:b/>
              </w:rPr>
            </w:pPr>
            <w:r>
              <w:rPr>
                <w:b/>
              </w:rPr>
              <w:t>Total</w:t>
              <w:br/>
              <w:t>Shareholder</w:t>
              <w:br/>
              <w:t>Return</w:t>
              <w:br/>
              <w:t>(f)(3)</w:t>
            </w:r>
          </w:p>
        </w:tc>
        <w:tc>
          <w:tcPr>
            <w:tcW w:w="222" w:type="dxa"/>
            <w:tcBorders>
              <w:bottom w:val="single" w:sz="6" w:space="0" w:color="000000"/>
            </w:tcBorders>
            <w:tcMar>
              <w:bottom w:w="28" w:type="dxa"/>
            </w:tcMar>
            <w:vAlign w:val="center"/>
          </w:tcPr>
          <w:p>
            <w:pPr>
              <w:pStyle w:val="TableContents"/>
              <w:bidi w:val="0"/>
              <w:spacing w:before="0" w:after="283"/>
              <w:jc w:val="left"/>
              <w:rPr/>
            </w:pPr>
            <w:r>
              <w:rPr/>
              <w:t> </w:t>
            </w:r>
          </w:p>
        </w:tc>
        <w:tc>
          <w:tcPr>
            <w:tcW w:w="222"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6" w:space="0" w:color="000000"/>
            </w:tcBorders>
            <w:tcMar>
              <w:bottom w:w="28" w:type="dxa"/>
            </w:tcMar>
            <w:vAlign w:val="center"/>
          </w:tcPr>
          <w:p>
            <w:pPr>
              <w:pStyle w:val="TableContents"/>
              <w:bidi w:val="0"/>
              <w:spacing w:before="0" w:after="0"/>
              <w:jc w:val="center"/>
              <w:rPr>
                <w:b/>
              </w:rPr>
            </w:pPr>
            <w:r>
              <w:rPr>
                <w:b/>
              </w:rPr>
              <w:t>Peer Group</w:t>
              <w:br/>
              <w:t>Total</w:t>
              <w:br/>
              <w:t>Shareholder</w:t>
              <w:br/>
              <w:t>Return</w:t>
              <w:br/>
              <w:t>(g)(3)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770"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50" w:type="dxa"/>
            <w:gridSpan w:val="2"/>
            <w:vMerge w:val="continue"/>
            <w:tcBorders>
              <w:bottom w:val="single" w:sz="6" w:space="0" w:color="000000"/>
            </w:tcBorders>
            <w:tcMar>
              <w:bottom w:w="28" w:type="dxa"/>
            </w:tcMar>
            <w:vAlign w:val="center"/>
          </w:tcPr>
          <w:p>
            <w:pPr>
              <w:pStyle w:val="Normal"/>
              <w:bidi w:val="0"/>
              <w:jc w:val="left"/>
              <w:rPr/>
            </w:pPr>
            <w:r>
              <w:rPr/>
            </w:r>
          </w:p>
        </w:tc>
        <w:tc>
          <w:tcPr>
            <w:tcW w:w="75" w:type="dxa"/>
            <w:vMerge w:val="continue"/>
            <w:tcBorders>
              <w:bottom w:val="single" w:sz="6" w:space="0" w:color="000000"/>
            </w:tcBorders>
            <w:tcMar>
              <w:bottom w:w="28" w:type="dxa"/>
            </w:tcMar>
            <w:vAlign w:val="center"/>
          </w:tcPr>
          <w:p>
            <w:pPr>
              <w:pStyle w:val="Normal"/>
              <w:bidi w:val="0"/>
              <w:jc w:val="left"/>
              <w:rPr/>
            </w:pPr>
            <w:r>
              <w:rPr/>
            </w:r>
          </w:p>
        </w:tc>
      </w:tr>
      <w:tr>
        <w:trPr/>
        <w:tc>
          <w:tcPr>
            <w:tcW w:w="33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 w:type="dxa"/>
            <w:tcBorders>
              <w:bottom w:val="single" w:sz="6" w:space="0" w:color="000000"/>
            </w:tcBorders>
            <w:tcMar>
              <w:bottom w:w="28" w:type="dxa"/>
            </w:tcMar>
            <w:vAlign w:val="center"/>
          </w:tcPr>
          <w:p>
            <w:pPr>
              <w:pStyle w:val="TableContents"/>
              <w:bidi w:val="0"/>
              <w:spacing w:before="0" w:after="283"/>
              <w:jc w:val="left"/>
              <w:rPr/>
            </w:pPr>
            <w:r>
              <w:rPr/>
              <w:t> </w:t>
            </w:r>
          </w:p>
        </w:tc>
        <w:tc>
          <w:tcPr>
            <w:tcW w:w="1374"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0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bottom w:val="single" w:sz="6" w:space="0" w:color="000000"/>
            </w:tcBorders>
            <w:tcMar>
              <w:bottom w:w="28" w:type="dxa"/>
            </w:tcMar>
            <w:vAlign w:val="center"/>
          </w:tcPr>
          <w:p>
            <w:pPr>
              <w:pStyle w:val="TableContents"/>
              <w:bidi w:val="0"/>
              <w:spacing w:before="0" w:after="0"/>
              <w:jc w:val="left"/>
              <w:rPr/>
            </w:pPr>
            <w:r>
              <w:rPr/>
              <w:t> </w:t>
            </w:r>
          </w:p>
        </w:tc>
        <w:tc>
          <w:tcPr>
            <w:tcW w:w="1381" w:type="dxa"/>
            <w:tcBorders>
              <w:bottom w:val="single" w:sz="6" w:space="0" w:color="000000"/>
            </w:tcBorders>
            <w:tcMar>
              <w:bottom w:w="28" w:type="dxa"/>
            </w:tcMar>
            <w:vAlign w:val="center"/>
          </w:tcPr>
          <w:p>
            <w:pPr>
              <w:pStyle w:val="TableContents"/>
              <w:bidi w:val="0"/>
              <w:spacing w:before="0" w:after="0"/>
              <w:jc w:val="righ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 w:type="dxa"/>
            <w:tcBorders>
              <w:bottom w:val="single" w:sz="6" w:space="0" w:color="000000"/>
            </w:tcBorders>
            <w:tcMar>
              <w:bottom w:w="28" w:type="dxa"/>
            </w:tcMar>
            <w:vAlign w:val="center"/>
          </w:tcPr>
          <w:p>
            <w:pPr>
              <w:pStyle w:val="TableContents"/>
              <w:bidi w:val="0"/>
              <w:spacing w:before="0" w:after="283"/>
              <w:jc w:val="left"/>
              <w:rPr/>
            </w:pPr>
            <w:r>
              <w:rPr/>
              <w:t> </w:t>
            </w:r>
          </w:p>
        </w:tc>
        <w:tc>
          <w:tcPr>
            <w:tcW w:w="932"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1006"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3" w:type="dxa"/>
            <w:tcBorders>
              <w:bottom w:val="single" w:sz="6" w:space="0" w:color="000000"/>
            </w:tcBorders>
            <w:tcMar>
              <w:bottom w:w="28" w:type="dxa"/>
            </w:tcMar>
            <w:vAlign w:val="center"/>
          </w:tcPr>
          <w:p>
            <w:pPr>
              <w:pStyle w:val="TableContents"/>
              <w:bidi w:val="0"/>
              <w:spacing w:before="0" w:after="283"/>
              <w:jc w:val="left"/>
              <w:rPr/>
            </w:pPr>
            <w:r>
              <w:rPr/>
              <w:t> </w:t>
            </w:r>
          </w:p>
        </w:tc>
        <w:tc>
          <w:tcPr>
            <w:tcW w:w="942"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c>
          <w:tcPr>
            <w:tcW w:w="1029" w:type="dxa"/>
            <w:tcBorders>
              <w:bottom w:val="single" w:sz="6" w:space="0" w:color="000000"/>
            </w:tcBorders>
            <w:tcMar>
              <w:bottom w:w="28" w:type="dxa"/>
            </w:tcMar>
            <w:vAlign w:val="center"/>
          </w:tcPr>
          <w:p>
            <w:pPr>
              <w:pStyle w:val="TableContents"/>
              <w:bidi w:val="0"/>
              <w:spacing w:before="0" w:after="283"/>
              <w:jc w:val="left"/>
              <w:rPr/>
            </w:pPr>
            <w:r>
              <w:rPr/>
              <w:t> </w:t>
            </w:r>
          </w:p>
        </w:tc>
        <w:tc>
          <w:tcPr>
            <w:tcW w:w="222" w:type="dxa"/>
            <w:tcBorders>
              <w:bottom w:val="single" w:sz="6" w:space="0" w:color="000000"/>
            </w:tcBorders>
            <w:tcMar>
              <w:bottom w:w="28" w:type="dxa"/>
            </w:tcMar>
            <w:vAlign w:val="center"/>
          </w:tcPr>
          <w:p>
            <w:pPr>
              <w:pStyle w:val="TableContents"/>
              <w:bidi w:val="0"/>
              <w:spacing w:before="0" w:after="283"/>
              <w:jc w:val="left"/>
              <w:rPr/>
            </w:pPr>
            <w:r>
              <w:rPr/>
              <w:t> </w:t>
            </w:r>
          </w:p>
        </w:tc>
        <w:tc>
          <w:tcPr>
            <w:tcW w:w="222" w:type="dxa"/>
            <w:tcBorders>
              <w:bottom w:val="single" w:sz="6" w:space="0" w:color="000000"/>
            </w:tcBorders>
            <w:tcMar>
              <w:bottom w:w="28" w:type="dxa"/>
            </w:tcMar>
            <w:vAlign w:val="center"/>
          </w:tcPr>
          <w:p>
            <w:pPr>
              <w:pStyle w:val="TableContents"/>
              <w:bidi w:val="0"/>
              <w:spacing w:before="0" w:after="283"/>
              <w:jc w:val="left"/>
              <w:rPr/>
            </w:pPr>
            <w:r>
              <w:rPr/>
              <w:t> </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c>
          <w:tcPr>
            <w:tcW w:w="1029"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 w:type="dxa"/>
            <w:tcBorders>
              <w:bottom w:val="single" w:sz="6" w:space="0" w:color="000000"/>
            </w:tcBorders>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c>
          <w:tcPr>
            <w:tcW w:w="539"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5" w:type="dxa"/>
            <w:tcBorders/>
            <w:shd w:fill="D5EBF6" w:val="clear"/>
            <w:vAlign w:val="center"/>
          </w:tcPr>
          <w:p>
            <w:pPr>
              <w:pStyle w:val="TableContents"/>
              <w:bidi w:val="0"/>
              <w:spacing w:before="0" w:after="283"/>
              <w:jc w:val="left"/>
              <w:rPr>
                <w:sz w:val="4"/>
                <w:szCs w:val="4"/>
              </w:rPr>
            </w:pPr>
            <w:r>
              <w:rPr>
                <w:sz w:val="4"/>
                <w:szCs w:val="4"/>
              </w:rPr>
            </w:r>
          </w:p>
        </w:tc>
        <w:tc>
          <w:tcPr>
            <w:tcW w:w="1610" w:type="dxa"/>
            <w:gridSpan w:val="4"/>
            <w:tcBorders/>
            <w:shd w:fill="D5EBF6" w:val="clear"/>
            <w:vAlign w:val="center"/>
          </w:tcPr>
          <w:p>
            <w:pPr>
              <w:pStyle w:val="TableContents"/>
              <w:bidi w:val="0"/>
              <w:spacing w:before="0" w:after="283"/>
              <w:jc w:val="left"/>
              <w:rPr>
                <w:sz w:val="4"/>
                <w:szCs w:val="4"/>
              </w:rPr>
            </w:pPr>
            <w:r>
              <w:rPr>
                <w:sz w:val="4"/>
                <w:szCs w:val="4"/>
              </w:rPr>
            </w:r>
          </w:p>
        </w:tc>
        <w:tc>
          <w:tcPr>
            <w:tcW w:w="1220" w:type="dxa"/>
            <w:gridSpan w:val="4"/>
            <w:tcBorders/>
            <w:shd w:fill="D5EBF6" w:val="clear"/>
            <w:vAlign w:val="center"/>
          </w:tcPr>
          <w:p>
            <w:pPr>
              <w:pStyle w:val="TableContents"/>
              <w:bidi w:val="0"/>
              <w:spacing w:before="0" w:after="283"/>
              <w:jc w:val="left"/>
              <w:rPr>
                <w:sz w:val="4"/>
                <w:szCs w:val="4"/>
              </w:rPr>
            </w:pPr>
            <w:r>
              <w:rPr>
                <w:sz w:val="4"/>
                <w:szCs w:val="4"/>
              </w:rPr>
            </w:r>
          </w:p>
        </w:tc>
        <w:tc>
          <w:tcPr>
            <w:tcW w:w="1610" w:type="dxa"/>
            <w:gridSpan w:val="4"/>
            <w:tcBorders/>
            <w:shd w:fill="D5EBF6" w:val="clear"/>
            <w:vAlign w:val="center"/>
          </w:tcPr>
          <w:p>
            <w:pPr>
              <w:pStyle w:val="TableContents"/>
              <w:bidi w:val="0"/>
              <w:spacing w:before="0" w:after="283"/>
              <w:jc w:val="left"/>
              <w:rPr>
                <w:sz w:val="4"/>
                <w:szCs w:val="4"/>
              </w:rPr>
            </w:pPr>
            <w:r>
              <w:rPr>
                <w:sz w:val="4"/>
                <w:szCs w:val="4"/>
              </w:rPr>
            </w:r>
          </w:p>
        </w:tc>
        <w:tc>
          <w:tcPr>
            <w:tcW w:w="1130" w:type="dxa"/>
            <w:gridSpan w:val="4"/>
            <w:tcBorders/>
            <w:shd w:fill="D5EBF6" w:val="clear"/>
            <w:vAlign w:val="center"/>
          </w:tcPr>
          <w:p>
            <w:pPr>
              <w:pStyle w:val="TableContents"/>
              <w:bidi w:val="0"/>
              <w:spacing w:before="0" w:after="283"/>
              <w:jc w:val="left"/>
              <w:rPr>
                <w:sz w:val="4"/>
                <w:szCs w:val="4"/>
              </w:rPr>
            </w:pPr>
            <w:r>
              <w:rPr>
                <w:sz w:val="4"/>
                <w:szCs w:val="4"/>
              </w:rPr>
            </w:r>
          </w:p>
        </w:tc>
        <w:tc>
          <w:tcPr>
            <w:tcW w:w="1220" w:type="dxa"/>
            <w:gridSpan w:val="4"/>
            <w:tcBorders/>
            <w:shd w:fill="D5EBF6" w:val="clear"/>
            <w:vAlign w:val="center"/>
          </w:tcPr>
          <w:p>
            <w:pPr>
              <w:pStyle w:val="TableContents"/>
              <w:bidi w:val="0"/>
              <w:spacing w:before="0" w:after="283"/>
              <w:jc w:val="left"/>
              <w:rPr>
                <w:sz w:val="4"/>
                <w:szCs w:val="4"/>
              </w:rPr>
            </w:pPr>
            <w:r>
              <w:rPr>
                <w:sz w:val="4"/>
                <w:szCs w:val="4"/>
              </w:rPr>
            </w:r>
          </w:p>
        </w:tc>
        <w:tc>
          <w:tcPr>
            <w:tcW w:w="1145" w:type="dxa"/>
            <w:gridSpan w:val="4"/>
            <w:tcBorders/>
            <w:shd w:fill="D5EBF6" w:val="clear"/>
            <w:vAlign w:val="center"/>
          </w:tcPr>
          <w:p>
            <w:pPr>
              <w:pStyle w:val="TableContents"/>
              <w:bidi w:val="0"/>
              <w:spacing w:before="0" w:after="283"/>
              <w:jc w:val="left"/>
              <w:rPr>
                <w:sz w:val="4"/>
                <w:szCs w:val="4"/>
              </w:rPr>
            </w:pPr>
            <w:r>
              <w:rPr>
                <w:sz w:val="4"/>
                <w:szCs w:val="4"/>
              </w:rPr>
            </w:r>
          </w:p>
        </w:tc>
        <w:tc>
          <w:tcPr>
            <w:tcW w:w="1562" w:type="dxa"/>
            <w:gridSpan w:val="4"/>
            <w:tcBorders/>
            <w:shd w:fill="D5EBF6" w:val="clear"/>
            <w:vAlign w:val="center"/>
          </w:tcPr>
          <w:p>
            <w:pPr>
              <w:pStyle w:val="TableContents"/>
              <w:bidi w:val="0"/>
              <w:spacing w:before="0" w:after="283"/>
              <w:jc w:val="left"/>
              <w:rPr>
                <w:sz w:val="4"/>
                <w:szCs w:val="4"/>
              </w:rPr>
            </w:pPr>
            <w:r>
              <w:rPr>
                <w:sz w:val="4"/>
                <w:szCs w:val="4"/>
              </w:rPr>
            </w:r>
          </w:p>
        </w:tc>
        <w:tc>
          <w:tcPr>
            <w:tcW w:w="1562" w:type="dxa"/>
            <w:gridSpan w:val="4"/>
            <w:tcBorders/>
            <w:shd w:fill="D5EBF6" w:val="clear"/>
            <w:vAlign w:val="center"/>
          </w:tcPr>
          <w:p>
            <w:pPr>
              <w:pStyle w:val="TableContents"/>
              <w:bidi w:val="0"/>
              <w:spacing w:before="0" w:after="283"/>
              <w:jc w:val="left"/>
              <w:rPr>
                <w:sz w:val="4"/>
                <w:szCs w:val="4"/>
              </w:rPr>
            </w:pPr>
            <w:r>
              <w:rPr>
                <w:sz w:val="4"/>
                <w:szCs w:val="4"/>
              </w:rPr>
            </w:r>
          </w:p>
        </w:tc>
        <w:tc>
          <w:tcPr>
            <w:tcW w:w="890" w:type="dxa"/>
            <w:gridSpan w:val="4"/>
            <w:tcBorders/>
            <w:shd w:fill="D5EBF6" w:val="clear"/>
            <w:vAlign w:val="center"/>
          </w:tcPr>
          <w:p>
            <w:pPr>
              <w:pStyle w:val="TableContents"/>
              <w:bidi w:val="0"/>
              <w:spacing w:before="0" w:after="283"/>
              <w:jc w:val="left"/>
              <w:rPr>
                <w:sz w:val="4"/>
                <w:szCs w:val="4"/>
              </w:rPr>
            </w:pPr>
            <w:r>
              <w:rPr>
                <w:sz w:val="4"/>
                <w:szCs w:val="4"/>
              </w:rPr>
            </w:r>
          </w:p>
        </w:tc>
        <w:tc>
          <w:tcPr>
            <w:tcW w:w="78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335" w:type="dxa"/>
            <w:tcBorders/>
            <w:shd w:fill="D5EBF6" w:val="clear"/>
            <w:vAlign w:val="center"/>
          </w:tcPr>
          <w:p>
            <w:pPr>
              <w:pStyle w:val="TableContents"/>
              <w:bidi w:val="0"/>
              <w:spacing w:lineRule="atLeast" w:line="300" w:before="0" w:after="0"/>
              <w:jc w:val="center"/>
              <w:rPr/>
            </w:pPr>
            <w:r>
              <w:rPr/>
              <w:t> </w:t>
            </w:r>
            <w:r>
              <w:rPr>
                <w:rFonts w:ascii="ARIAL" w:hAnsi="ARIAL"/>
                <w:sz w:val="14"/>
              </w:rPr>
              <w:t>2025</w:t>
            </w:r>
          </w:p>
        </w:tc>
        <w:tc>
          <w:tcPr>
            <w:tcW w:w="60" w:type="dxa"/>
            <w:tcBorders/>
            <w:shd w:fill="D5EBF6" w:val="clear"/>
            <w:vAlign w:val="center"/>
          </w:tcPr>
          <w:p>
            <w:pPr>
              <w:pStyle w:val="TableContents"/>
              <w:bidi w:val="0"/>
              <w:spacing w:before="0" w:after="283"/>
              <w:jc w:val="left"/>
              <w:rPr/>
            </w:pPr>
            <w:r>
              <w:rPr/>
              <w:t> </w:t>
            </w:r>
          </w:p>
        </w:tc>
        <w:tc>
          <w:tcPr>
            <w:tcW w:w="116" w:type="dxa"/>
            <w:tcBorders/>
            <w:shd w:fill="D5EBF6" w:val="clear"/>
            <w:vAlign w:val="center"/>
          </w:tcPr>
          <w:p>
            <w:pPr>
              <w:pStyle w:val="TableContents"/>
              <w:bidi w:val="0"/>
              <w:spacing w:lineRule="atLeast" w:line="300" w:before="0" w:after="0"/>
              <w:jc w:val="left"/>
              <w:rPr/>
            </w:pPr>
            <w:r>
              <w:rPr/>
              <w:t> </w:t>
            </w:r>
          </w:p>
        </w:tc>
        <w:tc>
          <w:tcPr>
            <w:tcW w:w="1374"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12,497,912</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85" w:type="dxa"/>
            <w:tcBorders/>
            <w:shd w:fill="D5EBF6" w:val="clear"/>
            <w:vAlign w:val="center"/>
          </w:tcPr>
          <w:p>
            <w:pPr>
              <w:pStyle w:val="TableContents"/>
              <w:bidi w:val="0"/>
              <w:spacing w:lineRule="atLeast" w:line="300" w:before="0" w:after="0"/>
              <w:jc w:val="left"/>
              <w:rPr/>
            </w:pPr>
            <w:r>
              <w:rPr/>
              <w:t> </w:t>
            </w:r>
          </w:p>
        </w:tc>
        <w:tc>
          <w:tcPr>
            <w:tcW w:w="1015"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lineRule="atLeast" w:line="300" w:before="0" w:after="0"/>
              <w:jc w:val="left"/>
              <w:rPr/>
            </w:pPr>
            <w:r>
              <w:rPr/>
              <w:t> </w:t>
            </w:r>
          </w:p>
        </w:tc>
        <w:tc>
          <w:tcPr>
            <w:tcW w:w="1381"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(21,842,563)</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78" w:type="dxa"/>
            <w:tcBorders/>
            <w:shd w:fill="D5EBF6" w:val="clear"/>
            <w:vAlign w:val="center"/>
          </w:tcPr>
          <w:p>
            <w:pPr>
              <w:pStyle w:val="TableContents"/>
              <w:bidi w:val="0"/>
              <w:spacing w:lineRule="atLeast" w:line="300" w:before="0" w:after="0"/>
              <w:jc w:val="left"/>
              <w:rPr/>
            </w:pPr>
            <w:r>
              <w:rPr/>
              <w:t> </w:t>
            </w:r>
          </w:p>
        </w:tc>
        <w:tc>
          <w:tcPr>
            <w:tcW w:w="932"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94" w:type="dxa"/>
            <w:tcBorders/>
            <w:shd w:fill="D5EBF6" w:val="clear"/>
            <w:vAlign w:val="center"/>
          </w:tcPr>
          <w:p>
            <w:pPr>
              <w:pStyle w:val="TableContents"/>
              <w:bidi w:val="0"/>
              <w:spacing w:lineRule="atLeast" w:line="300" w:before="0" w:after="0"/>
              <w:jc w:val="left"/>
              <w:rPr/>
            </w:pPr>
            <w:r>
              <w:rPr/>
              <w:t> </w:t>
            </w:r>
          </w:p>
        </w:tc>
        <w:tc>
          <w:tcPr>
            <w:tcW w:w="1006"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3,803,766</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83" w:type="dxa"/>
            <w:tcBorders/>
            <w:shd w:fill="D5EBF6" w:val="clear"/>
            <w:vAlign w:val="center"/>
          </w:tcPr>
          <w:p>
            <w:pPr>
              <w:pStyle w:val="TableContents"/>
              <w:bidi w:val="0"/>
              <w:spacing w:lineRule="atLeast" w:line="300" w:before="0" w:after="0"/>
              <w:jc w:val="left"/>
              <w:rPr/>
            </w:pPr>
            <w:r>
              <w:rPr/>
              <w:t> </w:t>
            </w:r>
          </w:p>
        </w:tc>
        <w:tc>
          <w:tcPr>
            <w:tcW w:w="942"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(3,280,193)</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251" w:type="dxa"/>
            <w:tcBorders/>
            <w:shd w:fill="D5EBF6" w:val="clear"/>
            <w:vAlign w:val="center"/>
          </w:tcPr>
          <w:p>
            <w:pPr>
              <w:pStyle w:val="TableContents"/>
              <w:bidi w:val="0"/>
              <w:spacing w:lineRule="atLeast" w:line="300" w:before="0" w:after="0"/>
              <w:jc w:val="left"/>
              <w:rPr/>
            </w:pPr>
            <w:r>
              <w:rPr/>
              <w:t> </w:t>
            </w:r>
          </w:p>
        </w:tc>
        <w:tc>
          <w:tcPr>
            <w:tcW w:w="1029"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22</w:t>
            </w:r>
          </w:p>
        </w:tc>
        <w:tc>
          <w:tcPr>
            <w:tcW w:w="222" w:type="dxa"/>
            <w:tcBorders/>
            <w:shd w:fill="D5EBF6" w:val="clear"/>
            <w:vAlign w:val="center"/>
          </w:tcPr>
          <w:p>
            <w:pPr>
              <w:pStyle w:val="TableContents"/>
              <w:bidi w:val="0"/>
              <w:spacing w:lineRule="atLeast" w:line="300" w:before="0" w:after="0"/>
              <w:jc w:val="left"/>
              <w:rPr/>
            </w:pPr>
            <w:r>
              <w:rPr/>
              <w:t> </w:t>
            </w:r>
          </w:p>
        </w:tc>
        <w:tc>
          <w:tcPr>
            <w:tcW w:w="222" w:type="dxa"/>
            <w:tcBorders/>
            <w:shd w:fill="D5EBF6" w:val="clear"/>
            <w:vAlign w:val="center"/>
          </w:tcPr>
          <w:p>
            <w:pPr>
              <w:pStyle w:val="TableContents"/>
              <w:bidi w:val="0"/>
              <w:spacing w:before="0" w:after="283"/>
              <w:jc w:val="left"/>
              <w:rPr/>
            </w:pPr>
            <w:r>
              <w:rPr/>
              <w:t> </w:t>
            </w:r>
          </w:p>
        </w:tc>
        <w:tc>
          <w:tcPr>
            <w:tcW w:w="251" w:type="dxa"/>
            <w:tcBorders/>
            <w:shd w:fill="D5EBF6" w:val="clear"/>
            <w:vAlign w:val="center"/>
          </w:tcPr>
          <w:p>
            <w:pPr>
              <w:pStyle w:val="TableContents"/>
              <w:bidi w:val="0"/>
              <w:spacing w:lineRule="atLeast" w:line="300" w:before="0" w:after="0"/>
              <w:jc w:val="left"/>
              <w:rPr/>
            </w:pPr>
            <w:r>
              <w:rPr/>
              <w:t> </w:t>
            </w:r>
          </w:p>
        </w:tc>
        <w:tc>
          <w:tcPr>
            <w:tcW w:w="1029"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130</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2" w:type="dxa"/>
            <w:tcBorders/>
            <w:shd w:fill="D5EBF6" w:val="clear"/>
            <w:vAlign w:val="center"/>
          </w:tcPr>
          <w:p>
            <w:pPr>
              <w:pStyle w:val="TableContents"/>
              <w:bidi w:val="0"/>
              <w:spacing w:lineRule="atLeast" w:line="300" w:before="0" w:after="0"/>
              <w:jc w:val="left"/>
              <w:rPr/>
            </w:pPr>
            <w:r>
              <w:rPr/>
              <w:t> </w:t>
            </w:r>
          </w:p>
        </w:tc>
        <w:tc>
          <w:tcPr>
            <w:tcW w:w="638"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(285)</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1" w:type="dxa"/>
            <w:tcBorders/>
            <w:shd w:fill="D5EBF6" w:val="clear"/>
            <w:vAlign w:val="center"/>
          </w:tcPr>
          <w:p>
            <w:pPr>
              <w:pStyle w:val="TableContents"/>
              <w:bidi w:val="0"/>
              <w:spacing w:lineRule="atLeast" w:line="300" w:before="0" w:after="0"/>
              <w:jc w:val="left"/>
              <w:rPr/>
            </w:pPr>
            <w:r>
              <w:rPr/>
              <w:t> </w:t>
            </w:r>
          </w:p>
        </w:tc>
        <w:tc>
          <w:tcPr>
            <w:tcW w:w="539"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476</w:t>
            </w:r>
          </w:p>
        </w:tc>
        <w:tc>
          <w:tcPr>
            <w:tcW w:w="75" w:type="dxa"/>
            <w:tcBorders/>
            <w:shd w:fill="D5EBF6" w:val="clear"/>
            <w:vAlign w:val="center"/>
          </w:tcPr>
          <w:p>
            <w:pPr>
              <w:pStyle w:val="TableContents"/>
              <w:bidi w:val="0"/>
              <w:spacing w:lineRule="atLeast" w:line="300" w:before="0" w:after="0"/>
              <w:jc w:val="left"/>
              <w:rPr/>
            </w:pPr>
            <w:r>
              <w:rPr/>
              <w:t> </w:t>
            </w:r>
          </w:p>
        </w:tc>
      </w:tr>
      <w:tr>
        <w:trPr/>
        <w:tc>
          <w:tcPr>
            <w:tcW w:w="33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562" w:type="dxa"/>
            <w:gridSpan w:val="4"/>
            <w:tcBorders/>
            <w:vAlign w:val="center"/>
          </w:tcPr>
          <w:p>
            <w:pPr>
              <w:pStyle w:val="TableContents"/>
              <w:bidi w:val="0"/>
              <w:spacing w:before="0" w:after="283"/>
              <w:jc w:val="left"/>
              <w:rPr>
                <w:sz w:val="4"/>
                <w:szCs w:val="4"/>
              </w:rPr>
            </w:pPr>
            <w:r>
              <w:rPr>
                <w:sz w:val="4"/>
                <w:szCs w:val="4"/>
              </w:rPr>
            </w:r>
          </w:p>
        </w:tc>
        <w:tc>
          <w:tcPr>
            <w:tcW w:w="1562"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lineRule="atLeast" w:line="300" w:before="0" w:after="0"/>
              <w:jc w:val="center"/>
              <w:rPr/>
            </w:pPr>
            <w:r>
              <w:rPr/>
              <w:t> </w:t>
            </w:r>
            <w:r>
              <w:rPr>
                <w:rFonts w:ascii="ARIAL" w:hAnsi="ARIAL"/>
                <w:sz w:val="14"/>
              </w:rPr>
              <w:t>2024</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lineRule="atLeast" w:line="300" w:before="0" w:after="0"/>
              <w:jc w:val="left"/>
              <w:rPr/>
            </w:pPr>
            <w:r>
              <w:rPr/>
              <w:t> </w:t>
            </w:r>
          </w:p>
        </w:tc>
        <w:tc>
          <w:tcPr>
            <w:tcW w:w="1374" w:type="dxa"/>
            <w:tcBorders/>
            <w:vAlign w:val="center"/>
          </w:tcPr>
          <w:p>
            <w:pPr>
              <w:pStyle w:val="TableContents"/>
              <w:bidi w:val="0"/>
              <w:spacing w:lineRule="atLeast" w:line="300" w:before="0" w:after="0"/>
              <w:jc w:val="center"/>
              <w:rPr>
                <w:rFonts w:ascii="ARIAL" w:hAnsi="ARIAL"/>
                <w:sz w:val="14"/>
              </w:rPr>
            </w:pPr>
            <w:r>
              <w:rPr>
                <w:rFonts w:ascii="ARIAL" w:hAnsi="ARIAL"/>
                <w:sz w:val="14"/>
              </w:rPr>
              <w:t>12,392,060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lineRule="atLeast" w:line="300" w:before="0" w:after="0"/>
              <w:jc w:val="left"/>
              <w:rPr/>
            </w:pPr>
            <w:r>
              <w:rPr/>
              <w:t> </w:t>
            </w:r>
          </w:p>
        </w:tc>
        <w:tc>
          <w:tcPr>
            <w:tcW w:w="1015" w:type="dxa"/>
            <w:tcBorders/>
            <w:vAlign w:val="center"/>
          </w:tcPr>
          <w:p>
            <w:pPr>
              <w:pStyle w:val="TableContents"/>
              <w:bidi w:val="0"/>
              <w:spacing w:lineRule="atLeast" w:line="30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lineRule="atLeast" w:line="300" w:before="0" w:after="0"/>
              <w:jc w:val="left"/>
              <w:rPr/>
            </w:pPr>
            <w:r>
              <w:rPr/>
              <w:t> </w:t>
            </w:r>
          </w:p>
        </w:tc>
        <w:tc>
          <w:tcPr>
            <w:tcW w:w="1381" w:type="dxa"/>
            <w:tcBorders/>
            <w:vAlign w:val="center"/>
          </w:tcPr>
          <w:p>
            <w:pPr>
              <w:pStyle w:val="TableContents"/>
              <w:bidi w:val="0"/>
              <w:spacing w:lineRule="atLeast" w:line="300" w:before="0" w:after="0"/>
              <w:jc w:val="center"/>
              <w:rPr>
                <w:rFonts w:ascii="ARIAL" w:hAnsi="ARIAL"/>
                <w:sz w:val="14"/>
              </w:rPr>
            </w:pPr>
            <w:r>
              <w:rPr>
                <w:rFonts w:ascii="ARIAL" w:hAnsi="ARIAL"/>
                <w:sz w:val="14"/>
              </w:rPr>
              <w:t>38,232,502</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lineRule="atLeast" w:line="300" w:before="0" w:after="0"/>
              <w:jc w:val="left"/>
              <w:rPr/>
            </w:pPr>
            <w:r>
              <w:rPr/>
              <w:t> </w:t>
            </w:r>
          </w:p>
        </w:tc>
        <w:tc>
          <w:tcPr>
            <w:tcW w:w="932" w:type="dxa"/>
            <w:tcBorders/>
            <w:vAlign w:val="center"/>
          </w:tcPr>
          <w:p>
            <w:pPr>
              <w:pStyle w:val="TableContents"/>
              <w:bidi w:val="0"/>
              <w:spacing w:lineRule="atLeast" w:line="30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300" w:before="0" w:after="0"/>
              <w:jc w:val="left"/>
              <w:rPr/>
            </w:pPr>
            <w:r>
              <w:rPr/>
              <w:t> </w:t>
            </w:r>
          </w:p>
        </w:tc>
        <w:tc>
          <w:tcPr>
            <w:tcW w:w="1006" w:type="dxa"/>
            <w:tcBorders/>
            <w:vAlign w:val="center"/>
          </w:tcPr>
          <w:p>
            <w:pPr>
              <w:pStyle w:val="TableContents"/>
              <w:bidi w:val="0"/>
              <w:spacing w:lineRule="atLeast" w:line="300" w:before="0" w:after="0"/>
              <w:jc w:val="center"/>
              <w:rPr>
                <w:rFonts w:ascii="ARIAL" w:hAnsi="ARIAL"/>
                <w:sz w:val="14"/>
              </w:rPr>
            </w:pPr>
            <w:r>
              <w:rPr>
                <w:rFonts w:ascii="ARIAL" w:hAnsi="ARIAL"/>
                <w:sz w:val="14"/>
              </w:rPr>
              <w:t>4,217,588</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300" w:before="0" w:after="0"/>
              <w:jc w:val="left"/>
              <w:rPr/>
            </w:pPr>
            <w:r>
              <w:rPr/>
              <w:t> </w:t>
            </w:r>
          </w:p>
        </w:tc>
        <w:tc>
          <w:tcPr>
            <w:tcW w:w="942" w:type="dxa"/>
            <w:tcBorders/>
            <w:vAlign w:val="center"/>
          </w:tcPr>
          <w:p>
            <w:pPr>
              <w:pStyle w:val="TableContents"/>
              <w:bidi w:val="0"/>
              <w:spacing w:lineRule="atLeast" w:line="300" w:before="0" w:after="0"/>
              <w:jc w:val="center"/>
              <w:rPr>
                <w:rFonts w:ascii="ARIAL" w:hAnsi="ARIAL"/>
                <w:sz w:val="14"/>
              </w:rPr>
            </w:pPr>
            <w:r>
              <w:rPr>
                <w:rFonts w:ascii="ARIAL" w:hAnsi="ARIAL"/>
                <w:sz w:val="14"/>
              </w:rPr>
              <w:t>8,487,955</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lineRule="atLeast" w:line="300" w:before="0" w:after="0"/>
              <w:jc w:val="left"/>
              <w:rPr/>
            </w:pPr>
            <w:r>
              <w:rPr/>
              <w:t> </w:t>
            </w:r>
          </w:p>
        </w:tc>
        <w:tc>
          <w:tcPr>
            <w:tcW w:w="1029" w:type="dxa"/>
            <w:tcBorders/>
            <w:vAlign w:val="center"/>
          </w:tcPr>
          <w:p>
            <w:pPr>
              <w:pStyle w:val="TableContents"/>
              <w:bidi w:val="0"/>
              <w:spacing w:lineRule="atLeast" w:line="300" w:before="0" w:after="0"/>
              <w:jc w:val="center"/>
              <w:rPr>
                <w:rFonts w:ascii="ARIAL" w:hAnsi="ARIAL"/>
                <w:sz w:val="14"/>
              </w:rPr>
            </w:pPr>
            <w:r>
              <w:rPr>
                <w:rFonts w:ascii="ARIAL" w:hAnsi="ARIAL"/>
                <w:sz w:val="14"/>
              </w:rPr>
              <w:t>55</w:t>
            </w:r>
          </w:p>
        </w:tc>
        <w:tc>
          <w:tcPr>
            <w:tcW w:w="222" w:type="dxa"/>
            <w:tcBorders/>
            <w:vAlign w:val="center"/>
          </w:tcPr>
          <w:p>
            <w:pPr>
              <w:pStyle w:val="TableContents"/>
              <w:bidi w:val="0"/>
              <w:spacing w:lineRule="atLeast" w:line="300" w:before="0" w:after="0"/>
              <w:jc w:val="left"/>
              <w:rPr/>
            </w:pPr>
            <w:r>
              <w:rPr/>
              <w:t> </w:t>
            </w:r>
          </w:p>
        </w:tc>
        <w:tc>
          <w:tcPr>
            <w:tcW w:w="222"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lineRule="atLeast" w:line="300" w:before="0" w:after="0"/>
              <w:jc w:val="left"/>
              <w:rPr/>
            </w:pPr>
            <w:r>
              <w:rPr/>
              <w:t> </w:t>
            </w:r>
          </w:p>
        </w:tc>
        <w:tc>
          <w:tcPr>
            <w:tcW w:w="1029" w:type="dxa"/>
            <w:tcBorders/>
            <w:vAlign w:val="center"/>
          </w:tcPr>
          <w:p>
            <w:pPr>
              <w:pStyle w:val="TableContents"/>
              <w:bidi w:val="0"/>
              <w:spacing w:lineRule="atLeast" w:line="300" w:before="0" w:after="0"/>
              <w:jc w:val="center"/>
              <w:rPr>
                <w:rFonts w:ascii="ARIAL" w:hAnsi="ARIAL"/>
                <w:sz w:val="14"/>
              </w:rPr>
            </w:pPr>
            <w:r>
              <w:rPr>
                <w:rFonts w:ascii="ARIAL" w:hAnsi="ARIAL"/>
                <w:sz w:val="14"/>
              </w:rPr>
              <w:t>123</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tLeast" w:line="300" w:before="0" w:after="0"/>
              <w:jc w:val="left"/>
              <w:rPr/>
            </w:pPr>
            <w:r>
              <w:rPr/>
              <w:t> </w:t>
            </w:r>
          </w:p>
        </w:tc>
        <w:tc>
          <w:tcPr>
            <w:tcW w:w="638" w:type="dxa"/>
            <w:tcBorders/>
            <w:vAlign w:val="center"/>
          </w:tcPr>
          <w:p>
            <w:pPr>
              <w:pStyle w:val="TableContents"/>
              <w:bidi w:val="0"/>
              <w:spacing w:lineRule="atLeast" w:line="300" w:before="0" w:after="0"/>
              <w:jc w:val="center"/>
              <w:rPr>
                <w:rFonts w:ascii="ARIAL" w:hAnsi="ARIAL"/>
                <w:sz w:val="14"/>
              </w:rPr>
            </w:pPr>
            <w:r>
              <w:rPr>
                <w:rFonts w:ascii="ARIAL" w:hAnsi="ARIAL"/>
                <w:sz w:val="14"/>
              </w:rPr>
              <w:t>(216)</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lineRule="atLeast" w:line="300" w:before="0" w:after="0"/>
              <w:jc w:val="left"/>
              <w:rPr/>
            </w:pPr>
            <w:r>
              <w:rPr/>
              <w:t> </w:t>
            </w:r>
          </w:p>
        </w:tc>
        <w:tc>
          <w:tcPr>
            <w:tcW w:w="539" w:type="dxa"/>
            <w:tcBorders/>
            <w:vAlign w:val="center"/>
          </w:tcPr>
          <w:p>
            <w:pPr>
              <w:pStyle w:val="TableContents"/>
              <w:bidi w:val="0"/>
              <w:spacing w:lineRule="atLeast" w:line="300" w:before="0" w:after="0"/>
              <w:jc w:val="center"/>
              <w:rPr>
                <w:rFonts w:ascii="ARIAL" w:hAnsi="ARIAL"/>
                <w:sz w:val="14"/>
              </w:rPr>
            </w:pPr>
            <w:r>
              <w:rPr>
                <w:rFonts w:ascii="ARIAL" w:hAnsi="ARIAL"/>
                <w:sz w:val="14"/>
              </w:rPr>
              <w:t>526</w:t>
            </w:r>
          </w:p>
        </w:tc>
        <w:tc>
          <w:tcPr>
            <w:tcW w:w="75" w:type="dxa"/>
            <w:tcBorders/>
            <w:vAlign w:val="center"/>
          </w:tcPr>
          <w:p>
            <w:pPr>
              <w:pStyle w:val="TableContents"/>
              <w:bidi w:val="0"/>
              <w:spacing w:lineRule="atLeast" w:line="300" w:before="0" w:after="0"/>
              <w:jc w:val="left"/>
              <w:rPr/>
            </w:pPr>
            <w:r>
              <w:rPr/>
              <w:t> </w:t>
            </w:r>
          </w:p>
        </w:tc>
      </w:tr>
      <w:tr>
        <w:trPr/>
        <w:tc>
          <w:tcPr>
            <w:tcW w:w="335" w:type="dxa"/>
            <w:tcBorders/>
            <w:shd w:fill="D5EBF6" w:val="clear"/>
            <w:vAlign w:val="center"/>
          </w:tcPr>
          <w:p>
            <w:pPr>
              <w:pStyle w:val="TableContents"/>
              <w:bidi w:val="0"/>
              <w:spacing w:before="0" w:after="283"/>
              <w:jc w:val="left"/>
              <w:rPr>
                <w:sz w:val="4"/>
                <w:szCs w:val="4"/>
              </w:rPr>
            </w:pPr>
            <w:r>
              <w:rPr>
                <w:sz w:val="4"/>
                <w:szCs w:val="4"/>
              </w:rPr>
            </w:r>
          </w:p>
        </w:tc>
        <w:tc>
          <w:tcPr>
            <w:tcW w:w="1610" w:type="dxa"/>
            <w:gridSpan w:val="4"/>
            <w:tcBorders/>
            <w:shd w:fill="D5EBF6" w:val="clear"/>
            <w:vAlign w:val="center"/>
          </w:tcPr>
          <w:p>
            <w:pPr>
              <w:pStyle w:val="TableContents"/>
              <w:bidi w:val="0"/>
              <w:spacing w:before="0" w:after="283"/>
              <w:jc w:val="left"/>
              <w:rPr>
                <w:sz w:val="4"/>
                <w:szCs w:val="4"/>
              </w:rPr>
            </w:pPr>
            <w:r>
              <w:rPr>
                <w:sz w:val="4"/>
                <w:szCs w:val="4"/>
              </w:rPr>
            </w:r>
          </w:p>
        </w:tc>
        <w:tc>
          <w:tcPr>
            <w:tcW w:w="1220" w:type="dxa"/>
            <w:gridSpan w:val="4"/>
            <w:tcBorders/>
            <w:shd w:fill="D5EBF6" w:val="clear"/>
            <w:vAlign w:val="center"/>
          </w:tcPr>
          <w:p>
            <w:pPr>
              <w:pStyle w:val="TableContents"/>
              <w:bidi w:val="0"/>
              <w:spacing w:before="0" w:after="283"/>
              <w:jc w:val="left"/>
              <w:rPr>
                <w:sz w:val="4"/>
                <w:szCs w:val="4"/>
              </w:rPr>
            </w:pPr>
            <w:r>
              <w:rPr>
                <w:sz w:val="4"/>
                <w:szCs w:val="4"/>
              </w:rPr>
            </w:r>
          </w:p>
        </w:tc>
        <w:tc>
          <w:tcPr>
            <w:tcW w:w="1610" w:type="dxa"/>
            <w:gridSpan w:val="4"/>
            <w:tcBorders/>
            <w:shd w:fill="D5EBF6" w:val="clear"/>
            <w:vAlign w:val="center"/>
          </w:tcPr>
          <w:p>
            <w:pPr>
              <w:pStyle w:val="TableContents"/>
              <w:bidi w:val="0"/>
              <w:spacing w:before="0" w:after="283"/>
              <w:jc w:val="left"/>
              <w:rPr>
                <w:sz w:val="4"/>
                <w:szCs w:val="4"/>
              </w:rPr>
            </w:pPr>
            <w:r>
              <w:rPr>
                <w:sz w:val="4"/>
                <w:szCs w:val="4"/>
              </w:rPr>
            </w:r>
          </w:p>
        </w:tc>
        <w:tc>
          <w:tcPr>
            <w:tcW w:w="1130" w:type="dxa"/>
            <w:gridSpan w:val="4"/>
            <w:tcBorders/>
            <w:shd w:fill="D5EBF6" w:val="clear"/>
            <w:vAlign w:val="center"/>
          </w:tcPr>
          <w:p>
            <w:pPr>
              <w:pStyle w:val="TableContents"/>
              <w:bidi w:val="0"/>
              <w:spacing w:before="0" w:after="283"/>
              <w:jc w:val="left"/>
              <w:rPr>
                <w:sz w:val="4"/>
                <w:szCs w:val="4"/>
              </w:rPr>
            </w:pPr>
            <w:r>
              <w:rPr>
                <w:sz w:val="4"/>
                <w:szCs w:val="4"/>
              </w:rPr>
            </w:r>
          </w:p>
        </w:tc>
        <w:tc>
          <w:tcPr>
            <w:tcW w:w="1220" w:type="dxa"/>
            <w:gridSpan w:val="4"/>
            <w:tcBorders/>
            <w:shd w:fill="D5EBF6" w:val="clear"/>
            <w:vAlign w:val="center"/>
          </w:tcPr>
          <w:p>
            <w:pPr>
              <w:pStyle w:val="TableContents"/>
              <w:bidi w:val="0"/>
              <w:spacing w:before="0" w:after="283"/>
              <w:jc w:val="left"/>
              <w:rPr>
                <w:sz w:val="4"/>
                <w:szCs w:val="4"/>
              </w:rPr>
            </w:pPr>
            <w:r>
              <w:rPr>
                <w:sz w:val="4"/>
                <w:szCs w:val="4"/>
              </w:rPr>
            </w:r>
          </w:p>
        </w:tc>
        <w:tc>
          <w:tcPr>
            <w:tcW w:w="1145" w:type="dxa"/>
            <w:gridSpan w:val="4"/>
            <w:tcBorders/>
            <w:shd w:fill="D5EBF6" w:val="clear"/>
            <w:vAlign w:val="center"/>
          </w:tcPr>
          <w:p>
            <w:pPr>
              <w:pStyle w:val="TableContents"/>
              <w:bidi w:val="0"/>
              <w:spacing w:before="0" w:after="283"/>
              <w:jc w:val="left"/>
              <w:rPr>
                <w:sz w:val="4"/>
                <w:szCs w:val="4"/>
              </w:rPr>
            </w:pPr>
            <w:r>
              <w:rPr>
                <w:sz w:val="4"/>
                <w:szCs w:val="4"/>
              </w:rPr>
            </w:r>
          </w:p>
        </w:tc>
        <w:tc>
          <w:tcPr>
            <w:tcW w:w="1562" w:type="dxa"/>
            <w:gridSpan w:val="4"/>
            <w:tcBorders/>
            <w:shd w:fill="D5EBF6" w:val="clear"/>
            <w:vAlign w:val="center"/>
          </w:tcPr>
          <w:p>
            <w:pPr>
              <w:pStyle w:val="TableContents"/>
              <w:bidi w:val="0"/>
              <w:spacing w:before="0" w:after="283"/>
              <w:jc w:val="left"/>
              <w:rPr>
                <w:sz w:val="4"/>
                <w:szCs w:val="4"/>
              </w:rPr>
            </w:pPr>
            <w:r>
              <w:rPr>
                <w:sz w:val="4"/>
                <w:szCs w:val="4"/>
              </w:rPr>
            </w:r>
          </w:p>
        </w:tc>
        <w:tc>
          <w:tcPr>
            <w:tcW w:w="1562" w:type="dxa"/>
            <w:gridSpan w:val="4"/>
            <w:tcBorders/>
            <w:shd w:fill="D5EBF6" w:val="clear"/>
            <w:vAlign w:val="center"/>
          </w:tcPr>
          <w:p>
            <w:pPr>
              <w:pStyle w:val="TableContents"/>
              <w:bidi w:val="0"/>
              <w:spacing w:before="0" w:after="283"/>
              <w:jc w:val="left"/>
              <w:rPr>
                <w:sz w:val="4"/>
                <w:szCs w:val="4"/>
              </w:rPr>
            </w:pPr>
            <w:r>
              <w:rPr>
                <w:sz w:val="4"/>
                <w:szCs w:val="4"/>
              </w:rPr>
            </w:r>
          </w:p>
        </w:tc>
        <w:tc>
          <w:tcPr>
            <w:tcW w:w="890" w:type="dxa"/>
            <w:gridSpan w:val="4"/>
            <w:tcBorders/>
            <w:shd w:fill="D5EBF6" w:val="clear"/>
            <w:vAlign w:val="center"/>
          </w:tcPr>
          <w:p>
            <w:pPr>
              <w:pStyle w:val="TableContents"/>
              <w:bidi w:val="0"/>
              <w:spacing w:before="0" w:after="283"/>
              <w:jc w:val="left"/>
              <w:rPr>
                <w:sz w:val="4"/>
                <w:szCs w:val="4"/>
              </w:rPr>
            </w:pPr>
            <w:r>
              <w:rPr>
                <w:sz w:val="4"/>
                <w:szCs w:val="4"/>
              </w:rPr>
            </w:r>
          </w:p>
        </w:tc>
        <w:tc>
          <w:tcPr>
            <w:tcW w:w="78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335" w:type="dxa"/>
            <w:tcBorders/>
            <w:shd w:fill="D5EBF6" w:val="clear"/>
            <w:vAlign w:val="center"/>
          </w:tcPr>
          <w:p>
            <w:pPr>
              <w:pStyle w:val="TableContents"/>
              <w:bidi w:val="0"/>
              <w:spacing w:lineRule="atLeast" w:line="300" w:before="0" w:after="0"/>
              <w:jc w:val="center"/>
              <w:rPr/>
            </w:pPr>
            <w:r>
              <w:rPr/>
              <w:t> </w:t>
            </w:r>
            <w:r>
              <w:rPr>
                <w:rFonts w:ascii="ARIAL" w:hAnsi="ARIAL"/>
                <w:sz w:val="14"/>
              </w:rPr>
              <w:t>2023</w:t>
            </w:r>
          </w:p>
        </w:tc>
        <w:tc>
          <w:tcPr>
            <w:tcW w:w="60" w:type="dxa"/>
            <w:tcBorders/>
            <w:shd w:fill="D5EBF6" w:val="clear"/>
            <w:vAlign w:val="center"/>
          </w:tcPr>
          <w:p>
            <w:pPr>
              <w:pStyle w:val="TableContents"/>
              <w:bidi w:val="0"/>
              <w:spacing w:before="0" w:after="283"/>
              <w:jc w:val="left"/>
              <w:rPr/>
            </w:pPr>
            <w:r>
              <w:rPr/>
              <w:t> </w:t>
            </w:r>
          </w:p>
        </w:tc>
        <w:tc>
          <w:tcPr>
            <w:tcW w:w="116" w:type="dxa"/>
            <w:tcBorders/>
            <w:shd w:fill="D5EBF6" w:val="clear"/>
            <w:vAlign w:val="center"/>
          </w:tcPr>
          <w:p>
            <w:pPr>
              <w:pStyle w:val="TableContents"/>
              <w:bidi w:val="0"/>
              <w:spacing w:lineRule="atLeast" w:line="300" w:before="0" w:after="0"/>
              <w:jc w:val="left"/>
              <w:rPr/>
            </w:pPr>
            <w:r>
              <w:rPr/>
              <w:t> </w:t>
            </w:r>
          </w:p>
        </w:tc>
        <w:tc>
          <w:tcPr>
            <w:tcW w:w="1374"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25,536,707</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85" w:type="dxa"/>
            <w:tcBorders/>
            <w:shd w:fill="D5EBF6" w:val="clear"/>
            <w:vAlign w:val="center"/>
          </w:tcPr>
          <w:p>
            <w:pPr>
              <w:pStyle w:val="TableContents"/>
              <w:bidi w:val="0"/>
              <w:spacing w:lineRule="atLeast" w:line="300" w:before="0" w:after="0"/>
              <w:jc w:val="left"/>
              <w:rPr/>
            </w:pPr>
            <w:r>
              <w:rPr/>
              <w:t> </w:t>
            </w:r>
          </w:p>
        </w:tc>
        <w:tc>
          <w:tcPr>
            <w:tcW w:w="1015"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4,514,209</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lineRule="atLeast" w:line="300" w:before="0" w:after="0"/>
              <w:jc w:val="left"/>
              <w:rPr/>
            </w:pPr>
            <w:r>
              <w:rPr/>
              <w:t> </w:t>
            </w:r>
          </w:p>
        </w:tc>
        <w:tc>
          <w:tcPr>
            <w:tcW w:w="1381"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23,276,353</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78" w:type="dxa"/>
            <w:tcBorders/>
            <w:shd w:fill="D5EBF6" w:val="clear"/>
            <w:vAlign w:val="center"/>
          </w:tcPr>
          <w:p>
            <w:pPr>
              <w:pStyle w:val="TableContents"/>
              <w:bidi w:val="0"/>
              <w:spacing w:lineRule="atLeast" w:line="300" w:before="0" w:after="0"/>
              <w:jc w:val="left"/>
              <w:rPr/>
            </w:pPr>
            <w:r>
              <w:rPr/>
              <w:t> </w:t>
            </w:r>
          </w:p>
        </w:tc>
        <w:tc>
          <w:tcPr>
            <w:tcW w:w="932"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2,060,879</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94" w:type="dxa"/>
            <w:tcBorders/>
            <w:shd w:fill="D5EBF6" w:val="clear"/>
            <w:vAlign w:val="center"/>
          </w:tcPr>
          <w:p>
            <w:pPr>
              <w:pStyle w:val="TableContents"/>
              <w:bidi w:val="0"/>
              <w:spacing w:lineRule="atLeast" w:line="300" w:before="0" w:after="0"/>
              <w:jc w:val="left"/>
              <w:rPr/>
            </w:pPr>
            <w:r>
              <w:rPr/>
              <w:t> </w:t>
            </w:r>
          </w:p>
        </w:tc>
        <w:tc>
          <w:tcPr>
            <w:tcW w:w="1006"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7,954,497</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83" w:type="dxa"/>
            <w:tcBorders/>
            <w:shd w:fill="D5EBF6" w:val="clear"/>
            <w:vAlign w:val="center"/>
          </w:tcPr>
          <w:p>
            <w:pPr>
              <w:pStyle w:val="TableContents"/>
              <w:bidi w:val="0"/>
              <w:spacing w:lineRule="atLeast" w:line="300" w:before="0" w:after="0"/>
              <w:jc w:val="left"/>
              <w:rPr/>
            </w:pPr>
            <w:r>
              <w:rPr/>
              <w:t> </w:t>
            </w:r>
          </w:p>
        </w:tc>
        <w:tc>
          <w:tcPr>
            <w:tcW w:w="942"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7,409,536</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251" w:type="dxa"/>
            <w:tcBorders/>
            <w:shd w:fill="D5EBF6" w:val="clear"/>
            <w:vAlign w:val="center"/>
          </w:tcPr>
          <w:p>
            <w:pPr>
              <w:pStyle w:val="TableContents"/>
              <w:bidi w:val="0"/>
              <w:spacing w:lineRule="atLeast" w:line="300" w:before="0" w:after="0"/>
              <w:jc w:val="left"/>
              <w:rPr/>
            </w:pPr>
            <w:r>
              <w:rPr/>
              <w:t> </w:t>
            </w:r>
          </w:p>
        </w:tc>
        <w:tc>
          <w:tcPr>
            <w:tcW w:w="1029"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46</w:t>
            </w:r>
          </w:p>
        </w:tc>
        <w:tc>
          <w:tcPr>
            <w:tcW w:w="222" w:type="dxa"/>
            <w:tcBorders/>
            <w:shd w:fill="D5EBF6" w:val="clear"/>
            <w:vAlign w:val="center"/>
          </w:tcPr>
          <w:p>
            <w:pPr>
              <w:pStyle w:val="TableContents"/>
              <w:bidi w:val="0"/>
              <w:spacing w:lineRule="atLeast" w:line="300" w:before="0" w:after="0"/>
              <w:jc w:val="left"/>
              <w:rPr/>
            </w:pPr>
            <w:r>
              <w:rPr/>
              <w:t> </w:t>
            </w:r>
          </w:p>
        </w:tc>
        <w:tc>
          <w:tcPr>
            <w:tcW w:w="222" w:type="dxa"/>
            <w:tcBorders/>
            <w:shd w:fill="D5EBF6" w:val="clear"/>
            <w:vAlign w:val="center"/>
          </w:tcPr>
          <w:p>
            <w:pPr>
              <w:pStyle w:val="TableContents"/>
              <w:bidi w:val="0"/>
              <w:spacing w:before="0" w:after="283"/>
              <w:jc w:val="left"/>
              <w:rPr/>
            </w:pPr>
            <w:r>
              <w:rPr/>
              <w:t> </w:t>
            </w:r>
          </w:p>
        </w:tc>
        <w:tc>
          <w:tcPr>
            <w:tcW w:w="251" w:type="dxa"/>
            <w:tcBorders/>
            <w:shd w:fill="D5EBF6" w:val="clear"/>
            <w:vAlign w:val="center"/>
          </w:tcPr>
          <w:p>
            <w:pPr>
              <w:pStyle w:val="TableContents"/>
              <w:bidi w:val="0"/>
              <w:spacing w:lineRule="atLeast" w:line="300" w:before="0" w:after="0"/>
              <w:jc w:val="left"/>
              <w:rPr/>
            </w:pPr>
            <w:r>
              <w:rPr/>
              <w:t> </w:t>
            </w:r>
          </w:p>
        </w:tc>
        <w:tc>
          <w:tcPr>
            <w:tcW w:w="1029"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106</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2" w:type="dxa"/>
            <w:tcBorders/>
            <w:shd w:fill="D5EBF6" w:val="clear"/>
            <w:vAlign w:val="center"/>
          </w:tcPr>
          <w:p>
            <w:pPr>
              <w:pStyle w:val="TableContents"/>
              <w:bidi w:val="0"/>
              <w:spacing w:lineRule="atLeast" w:line="300" w:before="0" w:after="0"/>
              <w:jc w:val="left"/>
              <w:rPr/>
            </w:pPr>
            <w:r>
              <w:rPr/>
              <w:t> </w:t>
            </w:r>
          </w:p>
        </w:tc>
        <w:tc>
          <w:tcPr>
            <w:tcW w:w="638"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(388)</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1" w:type="dxa"/>
            <w:tcBorders/>
            <w:shd w:fill="D5EBF6" w:val="clear"/>
            <w:vAlign w:val="center"/>
          </w:tcPr>
          <w:p>
            <w:pPr>
              <w:pStyle w:val="TableContents"/>
              <w:bidi w:val="0"/>
              <w:spacing w:lineRule="atLeast" w:line="300" w:before="0" w:after="0"/>
              <w:jc w:val="left"/>
              <w:rPr/>
            </w:pPr>
            <w:r>
              <w:rPr/>
              <w:t> </w:t>
            </w:r>
          </w:p>
        </w:tc>
        <w:tc>
          <w:tcPr>
            <w:tcW w:w="539"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979</w:t>
            </w:r>
          </w:p>
        </w:tc>
        <w:tc>
          <w:tcPr>
            <w:tcW w:w="75" w:type="dxa"/>
            <w:tcBorders/>
            <w:shd w:fill="D5EBF6" w:val="clear"/>
            <w:vAlign w:val="center"/>
          </w:tcPr>
          <w:p>
            <w:pPr>
              <w:pStyle w:val="TableContents"/>
              <w:bidi w:val="0"/>
              <w:spacing w:lineRule="atLeast" w:line="300" w:before="0" w:after="0"/>
              <w:jc w:val="left"/>
              <w:rPr/>
            </w:pPr>
            <w:r>
              <w:rPr/>
              <w:t> </w:t>
            </w:r>
          </w:p>
        </w:tc>
      </w:tr>
      <w:tr>
        <w:trPr/>
        <w:tc>
          <w:tcPr>
            <w:tcW w:w="33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562" w:type="dxa"/>
            <w:gridSpan w:val="4"/>
            <w:tcBorders/>
            <w:vAlign w:val="center"/>
          </w:tcPr>
          <w:p>
            <w:pPr>
              <w:pStyle w:val="TableContents"/>
              <w:bidi w:val="0"/>
              <w:spacing w:before="0" w:after="283"/>
              <w:jc w:val="left"/>
              <w:rPr>
                <w:sz w:val="4"/>
                <w:szCs w:val="4"/>
              </w:rPr>
            </w:pPr>
            <w:r>
              <w:rPr>
                <w:sz w:val="4"/>
                <w:szCs w:val="4"/>
              </w:rPr>
            </w:r>
          </w:p>
        </w:tc>
        <w:tc>
          <w:tcPr>
            <w:tcW w:w="1562"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lineRule="atLeast" w:line="300" w:before="0" w:after="0"/>
              <w:jc w:val="center"/>
              <w:rPr/>
            </w:pPr>
            <w:r>
              <w:rPr/>
              <w:t> </w:t>
            </w:r>
            <w:r>
              <w:rPr>
                <w:rFonts w:ascii="ARIAL" w:hAnsi="ARIAL"/>
                <w:sz w:val="14"/>
              </w:rPr>
              <w:t>2022</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lineRule="atLeast" w:line="300" w:before="0" w:after="0"/>
              <w:jc w:val="left"/>
              <w:rPr/>
            </w:pPr>
            <w:r>
              <w:rPr/>
              <w:t> </w:t>
            </w:r>
          </w:p>
        </w:tc>
        <w:tc>
          <w:tcPr>
            <w:tcW w:w="1374" w:type="dxa"/>
            <w:tcBorders/>
            <w:vAlign w:val="center"/>
          </w:tcPr>
          <w:p>
            <w:pPr>
              <w:pStyle w:val="TableContents"/>
              <w:bidi w:val="0"/>
              <w:spacing w:lineRule="atLeast" w:line="30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lineRule="atLeast" w:line="300" w:before="0" w:after="0"/>
              <w:jc w:val="left"/>
              <w:rPr/>
            </w:pPr>
            <w:r>
              <w:rPr/>
              <w:t> </w:t>
            </w:r>
          </w:p>
        </w:tc>
        <w:tc>
          <w:tcPr>
            <w:tcW w:w="1015" w:type="dxa"/>
            <w:tcBorders/>
            <w:vAlign w:val="center"/>
          </w:tcPr>
          <w:p>
            <w:pPr>
              <w:pStyle w:val="TableContents"/>
              <w:bidi w:val="0"/>
              <w:spacing w:lineRule="atLeast" w:line="300" w:before="0" w:after="0"/>
              <w:jc w:val="center"/>
              <w:rPr>
                <w:rFonts w:ascii="ARIAL" w:hAnsi="ARIAL"/>
                <w:sz w:val="14"/>
              </w:rPr>
            </w:pPr>
            <w:r>
              <w:rPr>
                <w:rFonts w:ascii="ARIAL" w:hAnsi="ARIAL"/>
                <w:sz w:val="14"/>
              </w:rPr>
              <w:t>10,296,665</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lineRule="atLeast" w:line="300" w:before="0" w:after="0"/>
              <w:jc w:val="left"/>
              <w:rPr/>
            </w:pPr>
            <w:r>
              <w:rPr/>
              <w:t> </w:t>
            </w:r>
          </w:p>
        </w:tc>
        <w:tc>
          <w:tcPr>
            <w:tcW w:w="1381" w:type="dxa"/>
            <w:tcBorders/>
            <w:vAlign w:val="center"/>
          </w:tcPr>
          <w:p>
            <w:pPr>
              <w:pStyle w:val="TableContents"/>
              <w:bidi w:val="0"/>
              <w:spacing w:lineRule="atLeast" w:line="300" w:before="0" w:after="0"/>
              <w:jc w:val="center"/>
              <w:rPr>
                <w:rFonts w:ascii="ARIAL" w:hAnsi="ARIAL"/>
                <w:sz w:val="14"/>
              </w:rPr>
            </w:pPr>
            <w:r>
              <w:rPr>
                <w:rFonts w:ascii="ARIAL" w:hAnsi="ARIAL"/>
                <w:sz w:val="14"/>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lineRule="atLeast" w:line="300" w:before="0" w:after="0"/>
              <w:jc w:val="left"/>
              <w:rPr/>
            </w:pPr>
            <w:r>
              <w:rPr/>
              <w:t> </w:t>
            </w:r>
          </w:p>
        </w:tc>
        <w:tc>
          <w:tcPr>
            <w:tcW w:w="932" w:type="dxa"/>
            <w:tcBorders/>
            <w:vAlign w:val="center"/>
          </w:tcPr>
          <w:p>
            <w:pPr>
              <w:pStyle w:val="TableContents"/>
              <w:bidi w:val="0"/>
              <w:spacing w:lineRule="atLeast" w:line="300" w:before="0" w:after="0"/>
              <w:jc w:val="center"/>
              <w:rPr>
                <w:rFonts w:ascii="ARIAL" w:hAnsi="ARIAL"/>
                <w:sz w:val="14"/>
              </w:rPr>
            </w:pPr>
            <w:r>
              <w:rPr>
                <w:rFonts w:ascii="ARIAL" w:hAnsi="ARIAL"/>
                <w:sz w:val="14"/>
              </w:rPr>
              <w:t>(7,272,680)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300" w:before="0" w:after="0"/>
              <w:jc w:val="left"/>
              <w:rPr/>
            </w:pPr>
            <w:r>
              <w:rPr/>
              <w:t> </w:t>
            </w:r>
          </w:p>
        </w:tc>
        <w:tc>
          <w:tcPr>
            <w:tcW w:w="1006" w:type="dxa"/>
            <w:tcBorders/>
            <w:vAlign w:val="center"/>
          </w:tcPr>
          <w:p>
            <w:pPr>
              <w:pStyle w:val="TableContents"/>
              <w:bidi w:val="0"/>
              <w:spacing w:lineRule="atLeast" w:line="300" w:before="0" w:after="0"/>
              <w:jc w:val="center"/>
              <w:rPr>
                <w:rFonts w:ascii="ARIAL" w:hAnsi="ARIAL"/>
                <w:sz w:val="14"/>
              </w:rPr>
            </w:pPr>
            <w:r>
              <w:rPr>
                <w:rFonts w:ascii="ARIAL" w:hAnsi="ARIAL"/>
                <w:sz w:val="14"/>
              </w:rPr>
              <w:t>3,046,371</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300" w:before="0" w:after="0"/>
              <w:jc w:val="left"/>
              <w:rPr/>
            </w:pPr>
            <w:r>
              <w:rPr/>
              <w:t> </w:t>
            </w:r>
          </w:p>
        </w:tc>
        <w:tc>
          <w:tcPr>
            <w:tcW w:w="942" w:type="dxa"/>
            <w:tcBorders/>
            <w:vAlign w:val="center"/>
          </w:tcPr>
          <w:p>
            <w:pPr>
              <w:pStyle w:val="TableContents"/>
              <w:bidi w:val="0"/>
              <w:spacing w:lineRule="atLeast" w:line="300" w:before="0" w:after="0"/>
              <w:jc w:val="center"/>
              <w:rPr>
                <w:rFonts w:ascii="ARIAL" w:hAnsi="ARIAL"/>
                <w:sz w:val="14"/>
              </w:rPr>
            </w:pPr>
            <w:r>
              <w:rPr>
                <w:rFonts w:ascii="ARIAL" w:hAnsi="ARIAL"/>
                <w:sz w:val="14"/>
              </w:rPr>
              <w:t>(1,339,606)</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lineRule="atLeast" w:line="300" w:before="0" w:after="0"/>
              <w:jc w:val="left"/>
              <w:rPr/>
            </w:pPr>
            <w:r>
              <w:rPr/>
              <w:t> </w:t>
            </w:r>
          </w:p>
        </w:tc>
        <w:tc>
          <w:tcPr>
            <w:tcW w:w="1029" w:type="dxa"/>
            <w:tcBorders/>
            <w:vAlign w:val="center"/>
          </w:tcPr>
          <w:p>
            <w:pPr>
              <w:pStyle w:val="TableContents"/>
              <w:bidi w:val="0"/>
              <w:spacing w:lineRule="atLeast" w:line="300" w:before="0" w:after="0"/>
              <w:jc w:val="center"/>
              <w:rPr>
                <w:rFonts w:ascii="ARIAL" w:hAnsi="ARIAL"/>
                <w:sz w:val="14"/>
              </w:rPr>
            </w:pPr>
            <w:r>
              <w:rPr>
                <w:rFonts w:ascii="ARIAL" w:hAnsi="ARIAL"/>
                <w:sz w:val="14"/>
              </w:rPr>
              <w:t>67</w:t>
            </w:r>
          </w:p>
        </w:tc>
        <w:tc>
          <w:tcPr>
            <w:tcW w:w="222" w:type="dxa"/>
            <w:tcBorders/>
            <w:vAlign w:val="center"/>
          </w:tcPr>
          <w:p>
            <w:pPr>
              <w:pStyle w:val="TableContents"/>
              <w:bidi w:val="0"/>
              <w:spacing w:lineRule="atLeast" w:line="300" w:before="0" w:after="0"/>
              <w:jc w:val="left"/>
              <w:rPr/>
            </w:pPr>
            <w:r>
              <w:rPr/>
              <w:t> </w:t>
            </w:r>
          </w:p>
        </w:tc>
        <w:tc>
          <w:tcPr>
            <w:tcW w:w="222"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lineRule="atLeast" w:line="300" w:before="0" w:after="0"/>
              <w:jc w:val="left"/>
              <w:rPr/>
            </w:pPr>
            <w:r>
              <w:rPr/>
              <w:t> </w:t>
            </w:r>
          </w:p>
        </w:tc>
        <w:tc>
          <w:tcPr>
            <w:tcW w:w="1029" w:type="dxa"/>
            <w:tcBorders/>
            <w:vAlign w:val="center"/>
          </w:tcPr>
          <w:p>
            <w:pPr>
              <w:pStyle w:val="TableContents"/>
              <w:bidi w:val="0"/>
              <w:spacing w:lineRule="atLeast" w:line="300" w:before="0" w:after="0"/>
              <w:jc w:val="center"/>
              <w:rPr>
                <w:rFonts w:ascii="ARIAL" w:hAnsi="ARIAL"/>
                <w:sz w:val="14"/>
              </w:rPr>
            </w:pPr>
            <w:r>
              <w:rPr>
                <w:rFonts w:ascii="ARIAL" w:hAnsi="ARIAL"/>
                <w:sz w:val="14"/>
              </w:rPr>
              <w:t>93</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tLeast" w:line="300" w:before="0" w:after="0"/>
              <w:jc w:val="left"/>
              <w:rPr/>
            </w:pPr>
            <w:r>
              <w:rPr/>
              <w:t> </w:t>
            </w:r>
          </w:p>
        </w:tc>
        <w:tc>
          <w:tcPr>
            <w:tcW w:w="638" w:type="dxa"/>
            <w:tcBorders/>
            <w:vAlign w:val="center"/>
          </w:tcPr>
          <w:p>
            <w:pPr>
              <w:pStyle w:val="TableContents"/>
              <w:bidi w:val="0"/>
              <w:spacing w:lineRule="atLeast" w:line="300" w:before="0" w:after="0"/>
              <w:jc w:val="center"/>
              <w:rPr>
                <w:rFonts w:ascii="ARIAL" w:hAnsi="ARIAL"/>
                <w:sz w:val="14"/>
              </w:rPr>
            </w:pPr>
            <w:r>
              <w:rPr>
                <w:rFonts w:ascii="ARIAL" w:hAnsi="ARIAL"/>
                <w:sz w:val="14"/>
              </w:rPr>
              <w:t>197</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lineRule="atLeast" w:line="300" w:before="0" w:after="0"/>
              <w:jc w:val="left"/>
              <w:rPr/>
            </w:pPr>
            <w:r>
              <w:rPr/>
              <w:t> </w:t>
            </w:r>
          </w:p>
        </w:tc>
        <w:tc>
          <w:tcPr>
            <w:tcW w:w="539" w:type="dxa"/>
            <w:tcBorders/>
            <w:vAlign w:val="center"/>
          </w:tcPr>
          <w:p>
            <w:pPr>
              <w:pStyle w:val="TableContents"/>
              <w:bidi w:val="0"/>
              <w:spacing w:lineRule="atLeast" w:line="300" w:before="0" w:after="0"/>
              <w:jc w:val="center"/>
              <w:rPr>
                <w:rFonts w:ascii="ARIAL" w:hAnsi="ARIAL"/>
                <w:sz w:val="14"/>
              </w:rPr>
            </w:pPr>
            <w:r>
              <w:rPr>
                <w:rFonts w:ascii="ARIAL" w:hAnsi="ARIAL"/>
                <w:sz w:val="14"/>
              </w:rPr>
              <w:t>(203)</w:t>
            </w:r>
          </w:p>
        </w:tc>
        <w:tc>
          <w:tcPr>
            <w:tcW w:w="75" w:type="dxa"/>
            <w:tcBorders/>
            <w:vAlign w:val="center"/>
          </w:tcPr>
          <w:p>
            <w:pPr>
              <w:pStyle w:val="TableContents"/>
              <w:bidi w:val="0"/>
              <w:spacing w:lineRule="atLeast" w:line="300" w:before="0" w:after="0"/>
              <w:jc w:val="left"/>
              <w:rPr/>
            </w:pPr>
            <w:r>
              <w:rPr/>
              <w:t> </w:t>
            </w:r>
          </w:p>
        </w:tc>
      </w:tr>
      <w:tr>
        <w:trPr/>
        <w:tc>
          <w:tcPr>
            <w:tcW w:w="335" w:type="dxa"/>
            <w:tcBorders/>
            <w:shd w:fill="D5EBF6" w:val="clear"/>
            <w:vAlign w:val="center"/>
          </w:tcPr>
          <w:p>
            <w:pPr>
              <w:pStyle w:val="TableContents"/>
              <w:bidi w:val="0"/>
              <w:spacing w:before="0" w:after="283"/>
              <w:jc w:val="left"/>
              <w:rPr>
                <w:sz w:val="4"/>
                <w:szCs w:val="4"/>
              </w:rPr>
            </w:pPr>
            <w:r>
              <w:rPr>
                <w:sz w:val="4"/>
                <w:szCs w:val="4"/>
              </w:rPr>
            </w:r>
          </w:p>
        </w:tc>
        <w:tc>
          <w:tcPr>
            <w:tcW w:w="1610" w:type="dxa"/>
            <w:gridSpan w:val="4"/>
            <w:tcBorders/>
            <w:shd w:fill="D5EBF6" w:val="clear"/>
            <w:vAlign w:val="center"/>
          </w:tcPr>
          <w:p>
            <w:pPr>
              <w:pStyle w:val="TableContents"/>
              <w:bidi w:val="0"/>
              <w:spacing w:before="0" w:after="283"/>
              <w:jc w:val="left"/>
              <w:rPr>
                <w:sz w:val="4"/>
                <w:szCs w:val="4"/>
              </w:rPr>
            </w:pPr>
            <w:r>
              <w:rPr>
                <w:sz w:val="4"/>
                <w:szCs w:val="4"/>
              </w:rPr>
            </w:r>
          </w:p>
        </w:tc>
        <w:tc>
          <w:tcPr>
            <w:tcW w:w="1220" w:type="dxa"/>
            <w:gridSpan w:val="4"/>
            <w:tcBorders/>
            <w:shd w:fill="D5EBF6" w:val="clear"/>
            <w:vAlign w:val="center"/>
          </w:tcPr>
          <w:p>
            <w:pPr>
              <w:pStyle w:val="TableContents"/>
              <w:bidi w:val="0"/>
              <w:spacing w:before="0" w:after="283"/>
              <w:jc w:val="left"/>
              <w:rPr>
                <w:sz w:val="4"/>
                <w:szCs w:val="4"/>
              </w:rPr>
            </w:pPr>
            <w:r>
              <w:rPr>
                <w:sz w:val="4"/>
                <w:szCs w:val="4"/>
              </w:rPr>
            </w:r>
          </w:p>
        </w:tc>
        <w:tc>
          <w:tcPr>
            <w:tcW w:w="1610" w:type="dxa"/>
            <w:gridSpan w:val="4"/>
            <w:tcBorders/>
            <w:shd w:fill="D5EBF6" w:val="clear"/>
            <w:vAlign w:val="center"/>
          </w:tcPr>
          <w:p>
            <w:pPr>
              <w:pStyle w:val="TableContents"/>
              <w:bidi w:val="0"/>
              <w:spacing w:before="0" w:after="283"/>
              <w:jc w:val="left"/>
              <w:rPr>
                <w:sz w:val="4"/>
                <w:szCs w:val="4"/>
              </w:rPr>
            </w:pPr>
            <w:r>
              <w:rPr>
                <w:sz w:val="4"/>
                <w:szCs w:val="4"/>
              </w:rPr>
            </w:r>
          </w:p>
        </w:tc>
        <w:tc>
          <w:tcPr>
            <w:tcW w:w="1130" w:type="dxa"/>
            <w:gridSpan w:val="4"/>
            <w:tcBorders/>
            <w:shd w:fill="D5EBF6" w:val="clear"/>
            <w:vAlign w:val="center"/>
          </w:tcPr>
          <w:p>
            <w:pPr>
              <w:pStyle w:val="TableContents"/>
              <w:bidi w:val="0"/>
              <w:spacing w:before="0" w:after="283"/>
              <w:jc w:val="left"/>
              <w:rPr>
                <w:sz w:val="4"/>
                <w:szCs w:val="4"/>
              </w:rPr>
            </w:pPr>
            <w:r>
              <w:rPr>
                <w:sz w:val="4"/>
                <w:szCs w:val="4"/>
              </w:rPr>
            </w:r>
          </w:p>
        </w:tc>
        <w:tc>
          <w:tcPr>
            <w:tcW w:w="1220" w:type="dxa"/>
            <w:gridSpan w:val="4"/>
            <w:tcBorders/>
            <w:shd w:fill="D5EBF6" w:val="clear"/>
            <w:vAlign w:val="center"/>
          </w:tcPr>
          <w:p>
            <w:pPr>
              <w:pStyle w:val="TableContents"/>
              <w:bidi w:val="0"/>
              <w:spacing w:before="0" w:after="283"/>
              <w:jc w:val="left"/>
              <w:rPr>
                <w:sz w:val="4"/>
                <w:szCs w:val="4"/>
              </w:rPr>
            </w:pPr>
            <w:r>
              <w:rPr>
                <w:sz w:val="4"/>
                <w:szCs w:val="4"/>
              </w:rPr>
            </w:r>
          </w:p>
        </w:tc>
        <w:tc>
          <w:tcPr>
            <w:tcW w:w="1145" w:type="dxa"/>
            <w:gridSpan w:val="4"/>
            <w:tcBorders/>
            <w:shd w:fill="D5EBF6" w:val="clear"/>
            <w:vAlign w:val="center"/>
          </w:tcPr>
          <w:p>
            <w:pPr>
              <w:pStyle w:val="TableContents"/>
              <w:bidi w:val="0"/>
              <w:spacing w:before="0" w:after="283"/>
              <w:jc w:val="left"/>
              <w:rPr>
                <w:sz w:val="4"/>
                <w:szCs w:val="4"/>
              </w:rPr>
            </w:pPr>
            <w:r>
              <w:rPr>
                <w:sz w:val="4"/>
                <w:szCs w:val="4"/>
              </w:rPr>
            </w:r>
          </w:p>
        </w:tc>
        <w:tc>
          <w:tcPr>
            <w:tcW w:w="1562" w:type="dxa"/>
            <w:gridSpan w:val="4"/>
            <w:tcBorders/>
            <w:shd w:fill="D5EBF6" w:val="clear"/>
            <w:vAlign w:val="center"/>
          </w:tcPr>
          <w:p>
            <w:pPr>
              <w:pStyle w:val="TableContents"/>
              <w:bidi w:val="0"/>
              <w:spacing w:before="0" w:after="283"/>
              <w:jc w:val="left"/>
              <w:rPr>
                <w:sz w:val="4"/>
                <w:szCs w:val="4"/>
              </w:rPr>
            </w:pPr>
            <w:r>
              <w:rPr>
                <w:sz w:val="4"/>
                <w:szCs w:val="4"/>
              </w:rPr>
            </w:r>
          </w:p>
        </w:tc>
        <w:tc>
          <w:tcPr>
            <w:tcW w:w="1562" w:type="dxa"/>
            <w:gridSpan w:val="4"/>
            <w:tcBorders/>
            <w:shd w:fill="D5EBF6" w:val="clear"/>
            <w:vAlign w:val="center"/>
          </w:tcPr>
          <w:p>
            <w:pPr>
              <w:pStyle w:val="TableContents"/>
              <w:bidi w:val="0"/>
              <w:spacing w:before="0" w:after="283"/>
              <w:jc w:val="left"/>
              <w:rPr>
                <w:sz w:val="4"/>
                <w:szCs w:val="4"/>
              </w:rPr>
            </w:pPr>
            <w:r>
              <w:rPr>
                <w:sz w:val="4"/>
                <w:szCs w:val="4"/>
              </w:rPr>
            </w:r>
          </w:p>
        </w:tc>
        <w:tc>
          <w:tcPr>
            <w:tcW w:w="890" w:type="dxa"/>
            <w:gridSpan w:val="4"/>
            <w:tcBorders/>
            <w:shd w:fill="D5EBF6" w:val="clear"/>
            <w:vAlign w:val="center"/>
          </w:tcPr>
          <w:p>
            <w:pPr>
              <w:pStyle w:val="TableContents"/>
              <w:bidi w:val="0"/>
              <w:spacing w:before="0" w:after="283"/>
              <w:jc w:val="left"/>
              <w:rPr>
                <w:sz w:val="4"/>
                <w:szCs w:val="4"/>
              </w:rPr>
            </w:pPr>
            <w:r>
              <w:rPr>
                <w:sz w:val="4"/>
                <w:szCs w:val="4"/>
              </w:rPr>
            </w:r>
          </w:p>
        </w:tc>
        <w:tc>
          <w:tcPr>
            <w:tcW w:w="78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335" w:type="dxa"/>
            <w:tcBorders/>
            <w:shd w:fill="D5EBF6" w:val="clear"/>
            <w:vAlign w:val="center"/>
          </w:tcPr>
          <w:p>
            <w:pPr>
              <w:pStyle w:val="TableContents"/>
              <w:bidi w:val="0"/>
              <w:spacing w:lineRule="atLeast" w:line="300" w:before="0" w:after="0"/>
              <w:jc w:val="center"/>
              <w:rPr/>
            </w:pPr>
            <w:r>
              <w:rPr/>
              <w:t> </w:t>
            </w:r>
            <w:r>
              <w:rPr>
                <w:rFonts w:ascii="ARIAL" w:hAnsi="ARIAL"/>
                <w:sz w:val="14"/>
              </w:rPr>
              <w:t>2021</w:t>
            </w:r>
          </w:p>
        </w:tc>
        <w:tc>
          <w:tcPr>
            <w:tcW w:w="60" w:type="dxa"/>
            <w:tcBorders/>
            <w:shd w:fill="D5EBF6" w:val="clear"/>
            <w:vAlign w:val="center"/>
          </w:tcPr>
          <w:p>
            <w:pPr>
              <w:pStyle w:val="TableContents"/>
              <w:bidi w:val="0"/>
              <w:spacing w:before="0" w:after="283"/>
              <w:jc w:val="left"/>
              <w:rPr/>
            </w:pPr>
            <w:r>
              <w:rPr/>
              <w:t> </w:t>
            </w:r>
          </w:p>
        </w:tc>
        <w:tc>
          <w:tcPr>
            <w:tcW w:w="116" w:type="dxa"/>
            <w:tcBorders/>
            <w:shd w:fill="D5EBF6" w:val="clear"/>
            <w:vAlign w:val="center"/>
          </w:tcPr>
          <w:p>
            <w:pPr>
              <w:pStyle w:val="TableContents"/>
              <w:bidi w:val="0"/>
              <w:spacing w:lineRule="atLeast" w:line="300" w:before="0" w:after="0"/>
              <w:jc w:val="left"/>
              <w:rPr/>
            </w:pPr>
            <w:r>
              <w:rPr/>
              <w:t> </w:t>
            </w:r>
          </w:p>
        </w:tc>
        <w:tc>
          <w:tcPr>
            <w:tcW w:w="1374"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85" w:type="dxa"/>
            <w:tcBorders/>
            <w:shd w:fill="D5EBF6" w:val="clear"/>
            <w:vAlign w:val="center"/>
          </w:tcPr>
          <w:p>
            <w:pPr>
              <w:pStyle w:val="TableContents"/>
              <w:bidi w:val="0"/>
              <w:spacing w:lineRule="atLeast" w:line="300" w:before="0" w:after="0"/>
              <w:jc w:val="left"/>
              <w:rPr/>
            </w:pPr>
            <w:r>
              <w:rPr/>
              <w:t> </w:t>
            </w:r>
          </w:p>
        </w:tc>
        <w:tc>
          <w:tcPr>
            <w:tcW w:w="1015"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11,438,798</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lineRule="atLeast" w:line="300" w:before="0" w:after="0"/>
              <w:jc w:val="left"/>
              <w:rPr/>
            </w:pPr>
            <w:r>
              <w:rPr/>
              <w:t> </w:t>
            </w:r>
          </w:p>
        </w:tc>
        <w:tc>
          <w:tcPr>
            <w:tcW w:w="1381"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78" w:type="dxa"/>
            <w:tcBorders/>
            <w:shd w:fill="D5EBF6" w:val="clear"/>
            <w:vAlign w:val="center"/>
          </w:tcPr>
          <w:p>
            <w:pPr>
              <w:pStyle w:val="TableContents"/>
              <w:bidi w:val="0"/>
              <w:spacing w:lineRule="atLeast" w:line="300" w:before="0" w:after="0"/>
              <w:jc w:val="left"/>
              <w:rPr/>
            </w:pPr>
            <w:r>
              <w:rPr/>
              <w:t> </w:t>
            </w:r>
          </w:p>
        </w:tc>
        <w:tc>
          <w:tcPr>
            <w:tcW w:w="932"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16,404,598</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94" w:type="dxa"/>
            <w:tcBorders/>
            <w:shd w:fill="D5EBF6" w:val="clear"/>
            <w:vAlign w:val="center"/>
          </w:tcPr>
          <w:p>
            <w:pPr>
              <w:pStyle w:val="TableContents"/>
              <w:bidi w:val="0"/>
              <w:spacing w:lineRule="atLeast" w:line="300" w:before="0" w:after="0"/>
              <w:jc w:val="left"/>
              <w:rPr/>
            </w:pPr>
            <w:r>
              <w:rPr/>
              <w:t> </w:t>
            </w:r>
          </w:p>
        </w:tc>
        <w:tc>
          <w:tcPr>
            <w:tcW w:w="1006"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3,798,238</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83" w:type="dxa"/>
            <w:tcBorders/>
            <w:shd w:fill="D5EBF6" w:val="clear"/>
            <w:vAlign w:val="center"/>
          </w:tcPr>
          <w:p>
            <w:pPr>
              <w:pStyle w:val="TableContents"/>
              <w:bidi w:val="0"/>
              <w:spacing w:lineRule="atLeast" w:line="300" w:before="0" w:after="0"/>
              <w:jc w:val="left"/>
              <w:rPr/>
            </w:pPr>
            <w:r>
              <w:rPr/>
              <w:t> </w:t>
            </w:r>
          </w:p>
        </w:tc>
        <w:tc>
          <w:tcPr>
            <w:tcW w:w="942"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4,456,426</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251" w:type="dxa"/>
            <w:tcBorders/>
            <w:shd w:fill="D5EBF6" w:val="clear"/>
            <w:vAlign w:val="center"/>
          </w:tcPr>
          <w:p>
            <w:pPr>
              <w:pStyle w:val="TableContents"/>
              <w:bidi w:val="0"/>
              <w:spacing w:lineRule="atLeast" w:line="300" w:before="0" w:after="0"/>
              <w:jc w:val="left"/>
              <w:rPr/>
            </w:pPr>
            <w:r>
              <w:rPr/>
              <w:t> </w:t>
            </w:r>
          </w:p>
        </w:tc>
        <w:tc>
          <w:tcPr>
            <w:tcW w:w="1029"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107</w:t>
            </w:r>
          </w:p>
        </w:tc>
        <w:tc>
          <w:tcPr>
            <w:tcW w:w="222" w:type="dxa"/>
            <w:tcBorders/>
            <w:shd w:fill="D5EBF6" w:val="clear"/>
            <w:vAlign w:val="center"/>
          </w:tcPr>
          <w:p>
            <w:pPr>
              <w:pStyle w:val="TableContents"/>
              <w:bidi w:val="0"/>
              <w:spacing w:lineRule="atLeast" w:line="300" w:before="0" w:after="0"/>
              <w:jc w:val="left"/>
              <w:rPr/>
            </w:pPr>
            <w:r>
              <w:rPr/>
              <w:t> </w:t>
            </w:r>
          </w:p>
        </w:tc>
        <w:tc>
          <w:tcPr>
            <w:tcW w:w="222" w:type="dxa"/>
            <w:tcBorders/>
            <w:shd w:fill="D5EBF6" w:val="clear"/>
            <w:vAlign w:val="center"/>
          </w:tcPr>
          <w:p>
            <w:pPr>
              <w:pStyle w:val="TableContents"/>
              <w:bidi w:val="0"/>
              <w:spacing w:before="0" w:after="283"/>
              <w:jc w:val="left"/>
              <w:rPr/>
            </w:pPr>
            <w:r>
              <w:rPr/>
              <w:t> </w:t>
            </w:r>
          </w:p>
        </w:tc>
        <w:tc>
          <w:tcPr>
            <w:tcW w:w="251" w:type="dxa"/>
            <w:tcBorders/>
            <w:shd w:fill="D5EBF6" w:val="clear"/>
            <w:vAlign w:val="center"/>
          </w:tcPr>
          <w:p>
            <w:pPr>
              <w:pStyle w:val="TableContents"/>
              <w:bidi w:val="0"/>
              <w:spacing w:lineRule="atLeast" w:line="300" w:before="0" w:after="0"/>
              <w:jc w:val="left"/>
              <w:rPr/>
            </w:pPr>
            <w:r>
              <w:rPr/>
              <w:t> </w:t>
            </w:r>
          </w:p>
        </w:tc>
        <w:tc>
          <w:tcPr>
            <w:tcW w:w="1029"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122</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32" w:type="dxa"/>
            <w:tcBorders/>
            <w:shd w:fill="D5EBF6" w:val="clear"/>
            <w:vAlign w:val="center"/>
          </w:tcPr>
          <w:p>
            <w:pPr>
              <w:pStyle w:val="TableContents"/>
              <w:bidi w:val="0"/>
              <w:spacing w:lineRule="atLeast" w:line="300" w:before="0" w:after="0"/>
              <w:jc w:val="left"/>
              <w:rPr/>
            </w:pPr>
            <w:r>
              <w:rPr/>
              <w:t> </w:t>
            </w:r>
          </w:p>
        </w:tc>
        <w:tc>
          <w:tcPr>
            <w:tcW w:w="638"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622</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111" w:type="dxa"/>
            <w:tcBorders/>
            <w:shd w:fill="D5EBF6" w:val="clear"/>
            <w:vAlign w:val="center"/>
          </w:tcPr>
          <w:p>
            <w:pPr>
              <w:pStyle w:val="TableContents"/>
              <w:bidi w:val="0"/>
              <w:spacing w:lineRule="atLeast" w:line="300" w:before="0" w:after="0"/>
              <w:jc w:val="left"/>
              <w:rPr/>
            </w:pPr>
            <w:r>
              <w:rPr/>
              <w:t> </w:t>
            </w:r>
          </w:p>
        </w:tc>
        <w:tc>
          <w:tcPr>
            <w:tcW w:w="539" w:type="dxa"/>
            <w:tcBorders/>
            <w:shd w:fill="D5EBF6" w:val="clear"/>
            <w:vAlign w:val="center"/>
          </w:tcPr>
          <w:p>
            <w:pPr>
              <w:pStyle w:val="TableContents"/>
              <w:bidi w:val="0"/>
              <w:spacing w:lineRule="atLeast" w:line="300" w:before="0" w:after="0"/>
              <w:jc w:val="center"/>
              <w:rPr>
                <w:rFonts w:ascii="ARIAL" w:hAnsi="ARIAL"/>
                <w:sz w:val="14"/>
              </w:rPr>
            </w:pPr>
            <w:r>
              <w:rPr>
                <w:rFonts w:ascii="ARIAL" w:hAnsi="ARIAL"/>
                <w:sz w:val="14"/>
              </w:rPr>
              <w:t>884</w:t>
            </w:r>
          </w:p>
        </w:tc>
        <w:tc>
          <w:tcPr>
            <w:tcW w:w="75" w:type="dxa"/>
            <w:tcBorders/>
            <w:shd w:fill="D5EBF6" w:val="clear"/>
            <w:vAlign w:val="center"/>
          </w:tcPr>
          <w:p>
            <w:pPr>
              <w:pStyle w:val="TableContents"/>
              <w:bidi w:val="0"/>
              <w:spacing w:lineRule="atLeast" w:line="300" w:before="0" w:after="0"/>
              <w:jc w:val="left"/>
              <w:rPr/>
            </w:pPr>
            <w:r>
              <w:rPr/>
              <w:t> </w:t>
            </w:r>
          </w:p>
        </w:tc>
      </w:tr>
      <w:tr>
        <w:trPr/>
        <w:tc>
          <w:tcPr>
            <w:tcW w:w="3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6"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37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38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8" w:type="dxa"/>
            <w:tcBorders>
              <w:top w:val="single" w:sz="6" w:space="0" w:color="000000"/>
              <w:bottom w:val="single" w:sz="6" w:space="0" w:color="000000"/>
            </w:tcBorders>
            <w:tcMar>
              <w:top w:w="28" w:type="dxa"/>
              <w:bottom w:w="28" w:type="dxa"/>
            </w:tcMar>
            <w:vAlign w:val="center"/>
          </w:tcPr>
          <w:p>
            <w:pPr>
              <w:pStyle w:val="TableContents"/>
              <w:bidi w:val="0"/>
              <w:spacing w:lineRule="atLeast" w:line="142" w:before="0" w:after="20"/>
              <w:jc w:val="left"/>
              <w:rPr/>
            </w:pPr>
            <w:r>
              <w:rPr/>
              <w:t> </w:t>
            </w:r>
          </w:p>
        </w:tc>
        <w:tc>
          <w:tcPr>
            <w:tcW w:w="932" w:type="dxa"/>
            <w:tcBorders>
              <w:top w:val="single" w:sz="6" w:space="0" w:color="000000"/>
              <w:bottom w:val="single" w:sz="6" w:space="0" w:color="000000"/>
            </w:tcBorders>
            <w:tcMar>
              <w:top w:w="28" w:type="dxa"/>
              <w:bottom w:w="28" w:type="dxa"/>
            </w:tcMar>
            <w:vAlign w:val="center"/>
          </w:tcPr>
          <w:p>
            <w:pPr>
              <w:pStyle w:val="TableContents"/>
              <w:bidi w:val="0"/>
              <w:spacing w:lineRule="atLeast" w:line="142" w:before="0" w:after="20"/>
              <w:jc w:val="righ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lineRule="atLeast" w:line="142"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06"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3"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4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5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2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2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5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3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3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both"/>
              <w:rPr>
                <w:rFonts w:ascii="ARIAL" w:hAnsi="ARIAL"/>
                <w:sz w:val="18"/>
              </w:rPr>
            </w:pPr>
            <w:r>
              <w:rPr>
                <w:rFonts w:ascii="ARIAL" w:hAnsi="ARIAL"/>
                <w:sz w:val="18"/>
              </w:rPr>
              <w:t>Mr. Peterson (“</w:t>
            </w:r>
          </w:p>
          <w:p>
            <w:pPr>
              <w:pStyle w:val="TableContents"/>
              <w:bidi w:val="0"/>
              <w:spacing w:before="0" w:after="0"/>
              <w:jc w:val="both"/>
              <w:rPr>
                <w:rFonts w:ascii="ARIAL" w:hAnsi="ARIAL"/>
                <w:b/>
                <w:sz w:val="18"/>
              </w:rPr>
            </w:pPr>
            <w:r>
              <w:rPr>
                <w:rFonts w:ascii="ARIAL" w:hAnsi="ARIAL"/>
                <w:b/>
                <w:sz w:val="18"/>
              </w:rPr>
              <w:t>PEO 1</w:t>
            </w:r>
          </w:p>
          <w:p>
            <w:pPr>
              <w:pStyle w:val="TableContents"/>
              <w:bidi w:val="0"/>
              <w:spacing w:before="0" w:after="0"/>
              <w:jc w:val="both"/>
              <w:rPr/>
            </w:pPr>
            <w:r>
              <w:rPr/>
              <w:t>”</w:t>
            </w:r>
            <w:r>
              <w:rPr>
                <w:rFonts w:ascii="ARIAL" w:hAnsi="ARIAL"/>
                <w:sz w:val="18"/>
              </w:rPr>
              <w:t>) has served as our principal executive officer (“</w:t>
            </w:r>
          </w:p>
          <w:p>
            <w:pPr>
              <w:pStyle w:val="TableContents"/>
              <w:bidi w:val="0"/>
              <w:spacing w:before="0" w:after="0"/>
              <w:jc w:val="both"/>
              <w:rPr>
                <w:rFonts w:ascii="ARIAL" w:hAnsi="ARIAL"/>
                <w:b/>
                <w:sz w:val="18"/>
              </w:rPr>
            </w:pPr>
            <w:r>
              <w:rPr>
                <w:rFonts w:ascii="ARIAL" w:hAnsi="ARIAL"/>
                <w:b/>
                <w:sz w:val="18"/>
              </w:rPr>
              <w:t>PEO</w:t>
            </w:r>
          </w:p>
          <w:p>
            <w:pPr>
              <w:pStyle w:val="TableContents"/>
              <w:bidi w:val="0"/>
              <w:spacing w:before="0" w:after="0"/>
              <w:jc w:val="both"/>
              <w:rPr/>
            </w:pPr>
            <w:r>
              <w:rPr/>
              <w:t>”</w:t>
            </w:r>
            <w:r>
              <w:rPr>
                <w:rFonts w:ascii="ARIAL" w:hAnsi="ARIAL"/>
                <w:sz w:val="18"/>
              </w:rPr>
              <w:t>) commencing May 16, 2023. Mr. Saligram (“</w:t>
            </w:r>
          </w:p>
          <w:p>
            <w:pPr>
              <w:pStyle w:val="TableContents"/>
              <w:bidi w:val="0"/>
              <w:spacing w:before="0" w:after="0"/>
              <w:jc w:val="both"/>
              <w:rPr>
                <w:rFonts w:ascii="ARIAL" w:hAnsi="ARIAL"/>
                <w:b/>
                <w:sz w:val="18"/>
              </w:rPr>
            </w:pPr>
            <w:r>
              <w:rPr>
                <w:rFonts w:ascii="ARIAL" w:hAnsi="ARIAL"/>
                <w:b/>
                <w:sz w:val="18"/>
              </w:rPr>
              <w:t>PEO 2</w:t>
            </w:r>
          </w:p>
          <w:p>
            <w:pPr>
              <w:pStyle w:val="TableContents"/>
              <w:bidi w:val="0"/>
              <w:spacing w:before="0" w:after="0"/>
              <w:jc w:val="both"/>
              <w:rPr/>
            </w:pPr>
            <w:r>
              <w:rPr/>
              <w:t>”</w:t>
            </w:r>
            <w:r>
              <w:rPr>
                <w:rFonts w:ascii="ARIAL" w:hAnsi="ARIAL"/>
                <w:sz w:val="18"/>
              </w:rPr>
              <w:t xml:space="preserve">) served as our PEO from January 1, 2023 until May 16, 2023 and for the full year for each of 2022 and 2021. For 2024 and 2025, our </w:t>
            </w:r>
          </w:p>
          <w:p>
            <w:pPr>
              <w:pStyle w:val="TableContents"/>
              <w:bidi w:val="0"/>
              <w:spacing w:before="0" w:after="0"/>
              <w:jc w:val="both"/>
              <w:rPr>
                <w:rFonts w:ascii="ARIAL" w:hAnsi="ARIAL"/>
                <w:sz w:val="18"/>
              </w:rPr>
            </w:pPr>
            <w:r>
              <w:rPr>
                <w:rFonts w:ascii="ARIAL" w:hAnsi="ARIAL"/>
                <w:sz w:val="18"/>
              </w:rPr>
              <w:t>non-PEO</w:t>
            </w:r>
          </w:p>
          <w:p>
            <w:pPr>
              <w:pStyle w:val="TableContents"/>
              <w:bidi w:val="0"/>
              <w:spacing w:before="0" w:after="0"/>
              <w:jc w:val="both"/>
              <w:rPr>
                <w:rFonts w:ascii="ARIAL" w:hAnsi="ARIAL"/>
                <w:sz w:val="18"/>
              </w:rPr>
            </w:pPr>
            <w:r>
              <w:rPr>
                <w:rFonts w:ascii="ARIAL" w:hAnsi="ARIAL"/>
                <w:sz w:val="18"/>
              </w:rPr>
              <w:t xml:space="preserve">NEOs included Messrs. Erceg and Turner and Mses. Platt and Malkoski. For 2023, our </w:t>
            </w:r>
          </w:p>
          <w:p>
            <w:pPr>
              <w:pStyle w:val="TableContents"/>
              <w:bidi w:val="0"/>
              <w:spacing w:before="0" w:after="0"/>
              <w:jc w:val="both"/>
              <w:rPr>
                <w:rFonts w:ascii="ARIAL" w:hAnsi="ARIAL"/>
                <w:sz w:val="18"/>
              </w:rPr>
            </w:pPr>
            <w:r>
              <w:rPr>
                <w:rFonts w:ascii="ARIAL" w:hAnsi="ARIAL"/>
                <w:sz w:val="18"/>
              </w:rPr>
              <w:t>non-PEO</w:t>
            </w:r>
          </w:p>
          <w:p>
            <w:pPr>
              <w:pStyle w:val="TableContents"/>
              <w:bidi w:val="0"/>
              <w:spacing w:before="0" w:after="0"/>
              <w:jc w:val="both"/>
              <w:rPr>
                <w:rFonts w:ascii="ARIAL" w:hAnsi="ARIAL"/>
                <w:sz w:val="18"/>
              </w:rPr>
            </w:pPr>
            <w:r>
              <w:rPr>
                <w:rFonts w:ascii="ARIAL" w:hAnsi="ARIAL"/>
                <w:sz w:val="18"/>
              </w:rPr>
              <w:t xml:space="preserve">NEOs included Messrs. Erceg and Turner, Michael McDermott and Ms. Malkoski. For 2022, our </w:t>
            </w:r>
          </w:p>
          <w:p>
            <w:pPr>
              <w:pStyle w:val="TableContents"/>
              <w:bidi w:val="0"/>
              <w:spacing w:before="0" w:after="0"/>
              <w:jc w:val="both"/>
              <w:rPr>
                <w:rFonts w:ascii="ARIAL" w:hAnsi="ARIAL"/>
                <w:sz w:val="18"/>
              </w:rPr>
            </w:pPr>
            <w:r>
              <w:rPr>
                <w:rFonts w:ascii="ARIAL" w:hAnsi="ARIAL"/>
                <w:sz w:val="18"/>
              </w:rPr>
              <w:t>non-PEO</w:t>
            </w:r>
          </w:p>
          <w:p>
            <w:pPr>
              <w:pStyle w:val="TableContents"/>
              <w:bidi w:val="0"/>
              <w:spacing w:before="0" w:after="0"/>
              <w:jc w:val="both"/>
              <w:rPr>
                <w:rFonts w:ascii="ARIAL" w:hAnsi="ARIAL"/>
                <w:sz w:val="18"/>
              </w:rPr>
            </w:pPr>
            <w:r>
              <w:rPr>
                <w:rFonts w:ascii="ARIAL" w:hAnsi="ARIAL"/>
                <w:sz w:val="18"/>
              </w:rPr>
              <w:t xml:space="preserve">NEOs included Messrs. Peterson, Turner and McDermott and Ms. Malkoski. For 2021, our </w:t>
            </w:r>
          </w:p>
          <w:p>
            <w:pPr>
              <w:pStyle w:val="TableContents"/>
              <w:bidi w:val="0"/>
              <w:spacing w:before="0" w:after="0"/>
              <w:jc w:val="both"/>
              <w:rPr>
                <w:rFonts w:ascii="ARIAL" w:hAnsi="ARIAL"/>
                <w:sz w:val="18"/>
              </w:rPr>
            </w:pPr>
            <w:r>
              <w:rPr>
                <w:rFonts w:ascii="ARIAL" w:hAnsi="ARIAL"/>
                <w:sz w:val="18"/>
              </w:rPr>
              <w:t>non-PEO</w:t>
            </w:r>
          </w:p>
          <w:p>
            <w:pPr>
              <w:pStyle w:val="TableContents"/>
              <w:bidi w:val="0"/>
              <w:spacing w:before="0" w:after="0"/>
              <w:jc w:val="both"/>
              <w:rPr>
                <w:rFonts w:ascii="ARIAL" w:hAnsi="ARIAL"/>
                <w:sz w:val="18"/>
              </w:rPr>
            </w:pPr>
            <w:r>
              <w:rPr>
                <w:rFonts w:ascii="ARIAL" w:hAnsi="ARIAL"/>
                <w:sz w:val="18"/>
              </w:rPr>
              <w:t xml:space="preserve">NEOs included Messrs. Peterson and Turner, Michal Geller and Laurel Hurd.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0"/>
              <w:jc w:val="both"/>
              <w:rPr>
                <w:rFonts w:ascii="ARIAL" w:hAnsi="ARIAL"/>
                <w:sz w:val="18"/>
              </w:rPr>
            </w:pPr>
            <w:r>
              <w:rPr>
                <w:rFonts w:ascii="ARIAL" w:hAnsi="ARIAL"/>
                <w:sz w:val="18"/>
              </w:rPr>
              <w:t xml:space="preserve">The amounts presented in these columns are inclusive of PRSUs, which reflect management’s estimate of performance against their respective targets at each applicable </w:t>
            </w:r>
          </w:p>
          <w:p>
            <w:pPr>
              <w:pStyle w:val="TableContents"/>
              <w:bidi w:val="0"/>
              <w:spacing w:before="0" w:after="0"/>
              <w:jc w:val="both"/>
              <w:rPr>
                <w:rFonts w:ascii="ARIAL" w:hAnsi="ARIAL"/>
                <w:sz w:val="18"/>
              </w:rPr>
            </w:pPr>
            <w:r>
              <w:rPr>
                <w:rFonts w:ascii="ARIAL" w:hAnsi="ARIAL"/>
                <w:sz w:val="18"/>
              </w:rPr>
              <w:t>year-end.</w:t>
            </w:r>
          </w:p>
          <w:p>
            <w:pPr>
              <w:pStyle w:val="TableContents"/>
              <w:bidi w:val="0"/>
              <w:spacing w:before="0" w:after="0"/>
              <w:jc w:val="both"/>
              <w:rPr>
                <w:rFonts w:ascii="ARIAL" w:hAnsi="ARIAL"/>
                <w:sz w:val="18"/>
              </w:rPr>
            </w:pPr>
            <w:r>
              <w:rPr>
                <w:rFonts w:ascii="ARIAL" w:hAnsi="ARIAL"/>
                <w:sz w:val="18"/>
              </w:rPr>
              <w:t xml:space="preserve">The fair value of TRSUs was calculated based on a 100% payout assumption. </w:t>
            </w:r>
          </w:p>
        </w:tc>
      </w:tr>
    </w:tbl>
    <w:p>
      <w:pPr>
        <w:pStyle w:val="TextBody"/>
        <w:bidi w:val="0"/>
        <w:spacing w:before="120" w:after="0"/>
        <w:jc w:val="both"/>
        <w:rPr>
          <w:rFonts w:ascii="ARIAL" w:hAnsi="ARIAL"/>
          <w:sz w:val="18"/>
        </w:rPr>
      </w:pPr>
      <w:r>
        <w:rPr>
          <w:rFonts w:ascii="ARIAL" w:hAnsi="ARIAL"/>
          <w:sz w:val="18"/>
        </w:rPr>
        <w:t xml:space="preserve">The fair value of stock options reported for Compensation Actually Paid purposes was estimated using a Black-Scholes option pricing model and used both historical data and current market data to estimate the fair value of options and required several assumptions. The assumptions used in estimating fair value for awards granted during 2022-2025 for purposes of determining 2025 Compensation Actually Paid were as follows: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2165"/>
        <w:gridCol w:w="240"/>
        <w:gridCol w:w="93"/>
        <w:gridCol w:w="407"/>
        <w:gridCol w:w="60"/>
        <w:gridCol w:w="240"/>
        <w:gridCol w:w="109"/>
        <w:gridCol w:w="391"/>
        <w:gridCol w:w="60"/>
        <w:gridCol w:w="240"/>
        <w:gridCol w:w="60"/>
        <w:gridCol w:w="830"/>
        <w:gridCol w:w="60"/>
        <w:gridCol w:w="240"/>
        <w:gridCol w:w="60"/>
        <w:gridCol w:w="1130"/>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bottom w:val="single" w:sz="6" w:space="0" w:color="000000"/>
            </w:tcBorders>
            <w:tcMar>
              <w:bottom w:w="28" w:type="dxa"/>
            </w:tcMar>
            <w:vAlign w:val="center"/>
          </w:tcPr>
          <w:p>
            <w:pPr>
              <w:pStyle w:val="TableContents"/>
              <w:bidi w:val="0"/>
              <w:spacing w:before="0" w:after="0"/>
              <w:jc w:val="left"/>
              <w:rPr/>
            </w:pPr>
            <w:r>
              <w:rPr/>
              <w:t> </w:t>
            </w:r>
            <w:r>
              <w:rPr>
                <w:b/>
              </w:rPr>
              <w:t>Grant Year</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6" w:space="0" w:color="000000"/>
            </w:tcBorders>
            <w:tcMar>
              <w:bottom w:w="28" w:type="dxa"/>
            </w:tcMar>
            <w:vAlign w:val="center"/>
          </w:tcPr>
          <w:p>
            <w:pPr>
              <w:pStyle w:val="TableContents"/>
              <w:bidi w:val="0"/>
              <w:spacing w:before="0" w:after="0"/>
              <w:jc w:val="center"/>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6" w:space="0" w:color="000000"/>
            </w:tcBorders>
            <w:tcMar>
              <w:bottom w:w="28" w:type="dxa"/>
            </w:tcMar>
            <w:vAlign w:val="center"/>
          </w:tcPr>
          <w:p>
            <w:pPr>
              <w:pStyle w:val="TableContents"/>
              <w:bidi w:val="0"/>
              <w:spacing w:before="0" w:after="0"/>
              <w:jc w:val="center"/>
              <w:rPr>
                <w:b/>
              </w:rPr>
            </w:pPr>
            <w:r>
              <w:rPr>
                <w:b/>
              </w:rPr>
              <w:t>2024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center"/>
              <w:rPr>
                <w:b/>
              </w:rPr>
            </w:pPr>
            <w:r>
              <w:rPr>
                <w:b/>
              </w:rPr>
              <w:t>2023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gridSpan w:val="2"/>
            <w:tcBorders>
              <w:bottom w:val="single" w:sz="6" w:space="0" w:color="000000"/>
            </w:tcBorders>
            <w:tcMar>
              <w:bottom w:w="28" w:type="dxa"/>
            </w:tcMar>
            <w:vAlign w:val="center"/>
          </w:tcPr>
          <w:p>
            <w:pPr>
              <w:pStyle w:val="TableContents"/>
              <w:bidi w:val="0"/>
              <w:spacing w:before="0" w:after="0"/>
              <w:jc w:val="center"/>
              <w:rPr>
                <w:b/>
              </w:rPr>
            </w:pPr>
            <w:r>
              <w:rPr>
                <w:b/>
              </w:rPr>
              <w:t>2022</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6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3" w:type="dxa"/>
            <w:tcBorders>
              <w:bottom w:val="single" w:sz="6" w:space="0" w:color="000000"/>
            </w:tcBorders>
            <w:tcMar>
              <w:bottom w:w="28" w:type="dxa"/>
            </w:tcMar>
            <w:vAlign w:val="center"/>
          </w:tcPr>
          <w:p>
            <w:pPr>
              <w:pStyle w:val="TableContents"/>
              <w:bidi w:val="0"/>
              <w:spacing w:before="0" w:after="0"/>
              <w:jc w:val="left"/>
              <w:rPr/>
            </w:pPr>
            <w:r>
              <w:rPr/>
              <w:t> </w:t>
            </w:r>
          </w:p>
        </w:tc>
        <w:tc>
          <w:tcPr>
            <w:tcW w:w="407" w:type="dxa"/>
            <w:tcBorders>
              <w:bottom w:val="single" w:sz="6" w:space="0" w:color="000000"/>
            </w:tcBorders>
            <w:tcMar>
              <w:bottom w:w="28" w:type="dxa"/>
            </w:tcMar>
            <w:vAlign w:val="center"/>
          </w:tcPr>
          <w:p>
            <w:pPr>
              <w:pStyle w:val="TableContents"/>
              <w:bidi w:val="0"/>
              <w:spacing w:before="0" w:after="0"/>
              <w:jc w:val="righ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391"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65" w:type="dxa"/>
            <w:tcBorders/>
            <w:shd w:fill="D5EBF6" w:val="clear"/>
            <w:vAlign w:val="center"/>
          </w:tcPr>
          <w:p>
            <w:pPr>
              <w:pStyle w:val="TableContents"/>
              <w:bidi w:val="0"/>
              <w:spacing w:lineRule="atLeast" w:line="300" w:before="0" w:after="0"/>
              <w:jc w:val="left"/>
              <w:rPr/>
            </w:pPr>
            <w:r>
              <w:rPr/>
              <w:t> </w:t>
            </w:r>
            <w:r>
              <w:rPr>
                <w:rFonts w:ascii="ARIAL" w:hAnsi="ARIAL"/>
                <w:sz w:val="20"/>
              </w:rPr>
              <w:t>Volatility</w:t>
            </w:r>
          </w:p>
        </w:tc>
        <w:tc>
          <w:tcPr>
            <w:tcW w:w="240" w:type="dxa"/>
            <w:tcBorders/>
            <w:shd w:fill="D5EBF6" w:val="clear"/>
            <w:vAlign w:val="center"/>
          </w:tcPr>
          <w:p>
            <w:pPr>
              <w:pStyle w:val="TableContents"/>
              <w:bidi w:val="0"/>
              <w:spacing w:before="0" w:after="283"/>
              <w:jc w:val="left"/>
              <w:rPr/>
            </w:pPr>
            <w:r>
              <w:rPr/>
              <w:t>    </w:t>
            </w:r>
          </w:p>
        </w:tc>
        <w:tc>
          <w:tcPr>
            <w:tcW w:w="93" w:type="dxa"/>
            <w:tcBorders/>
            <w:shd w:fill="D5EBF6" w:val="clear"/>
            <w:vAlign w:val="center"/>
          </w:tcPr>
          <w:p>
            <w:pPr>
              <w:pStyle w:val="TableContents"/>
              <w:bidi w:val="0"/>
              <w:spacing w:lineRule="atLeast" w:line="300" w:before="0" w:after="0"/>
              <w:jc w:val="left"/>
              <w:rPr/>
            </w:pPr>
            <w:r>
              <w:rPr/>
              <w:t> </w:t>
            </w:r>
          </w:p>
        </w:tc>
        <w:tc>
          <w:tcPr>
            <w:tcW w:w="407" w:type="dxa"/>
            <w:tcBorders/>
            <w:shd w:fill="D5EBF6" w:val="clear"/>
            <w:vAlign w:val="center"/>
          </w:tcPr>
          <w:p>
            <w:pPr>
              <w:pStyle w:val="TableContents"/>
              <w:bidi w:val="0"/>
              <w:spacing w:lineRule="atLeast" w:line="300" w:before="0" w:after="0"/>
              <w:jc w:val="center"/>
              <w:rPr>
                <w:rFonts w:ascii="ARIAL" w:hAnsi="ARIAL"/>
                <w:sz w:val="20"/>
              </w:rPr>
            </w:pPr>
            <w:r>
              <w:rPr>
                <w:rFonts w:ascii="ARIAL" w:hAnsi="ARIAL"/>
                <w:sz w:val="20"/>
              </w:rPr>
              <w:t>N/A</w:t>
            </w:r>
          </w:p>
        </w:tc>
        <w:tc>
          <w:tcPr>
            <w:tcW w:w="60" w:type="dxa"/>
            <w:tcBorders/>
            <w:shd w:fill="D5EBF6" w:val="clear"/>
            <w:vAlign w:val="center"/>
          </w:tcPr>
          <w:p>
            <w:pPr>
              <w:pStyle w:val="TableContents"/>
              <w:bidi w:val="0"/>
              <w:spacing w:lineRule="atLeast" w:line="300" w:before="0" w:after="0"/>
              <w:jc w:val="left"/>
              <w:rPr/>
            </w:pPr>
            <w:r>
              <w:rPr/>
              <w:t> </w:t>
            </w:r>
          </w:p>
        </w:tc>
        <w:tc>
          <w:tcPr>
            <w:tcW w:w="24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lineRule="atLeast" w:line="300" w:before="0" w:after="0"/>
              <w:jc w:val="left"/>
              <w:rPr/>
            </w:pPr>
            <w:r>
              <w:rPr/>
              <w:t> </w:t>
            </w:r>
          </w:p>
        </w:tc>
        <w:tc>
          <w:tcPr>
            <w:tcW w:w="391" w:type="dxa"/>
            <w:tcBorders/>
            <w:shd w:fill="D5EBF6" w:val="clear"/>
            <w:vAlign w:val="center"/>
          </w:tcPr>
          <w:p>
            <w:pPr>
              <w:pStyle w:val="TableContents"/>
              <w:bidi w:val="0"/>
              <w:spacing w:lineRule="atLeast" w:line="300" w:before="0" w:after="0"/>
              <w:jc w:val="center"/>
              <w:rPr>
                <w:rFonts w:ascii="ARIAL" w:hAnsi="ARIAL"/>
                <w:sz w:val="20"/>
              </w:rPr>
            </w:pPr>
            <w:r>
              <w:rPr>
                <w:rFonts w:ascii="ARIAL" w:hAnsi="ARIAL"/>
                <w:sz w:val="20"/>
              </w:rPr>
              <w:t>N/A</w:t>
            </w:r>
          </w:p>
        </w:tc>
        <w:tc>
          <w:tcPr>
            <w:tcW w:w="60" w:type="dxa"/>
            <w:tcBorders/>
            <w:shd w:fill="D5EBF6" w:val="clear"/>
            <w:vAlign w:val="center"/>
          </w:tcPr>
          <w:p>
            <w:pPr>
              <w:pStyle w:val="TableContents"/>
              <w:bidi w:val="0"/>
              <w:spacing w:lineRule="atLeast" w:line="300" w:before="0" w:after="0"/>
              <w:jc w:val="left"/>
              <w:rPr/>
            </w:pPr>
            <w:r>
              <w:rPr/>
              <w:t> </w:t>
            </w:r>
          </w:p>
        </w:tc>
        <w:tc>
          <w:tcPr>
            <w:tcW w:w="24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830" w:type="dxa"/>
            <w:tcBorders/>
            <w:shd w:fill="D5EBF6" w:val="clear"/>
            <w:vAlign w:val="center"/>
          </w:tcPr>
          <w:p>
            <w:pPr>
              <w:pStyle w:val="TableContents"/>
              <w:bidi w:val="0"/>
              <w:spacing w:lineRule="atLeast" w:line="300" w:before="0" w:after="0"/>
              <w:jc w:val="center"/>
              <w:rPr>
                <w:rFonts w:ascii="ARIAL" w:hAnsi="ARIAL"/>
                <w:sz w:val="20"/>
              </w:rPr>
            </w:pPr>
            <w:r>
              <w:rPr>
                <w:rFonts w:ascii="ARIAL" w:hAnsi="ARIAL"/>
                <w:sz w:val="20"/>
              </w:rPr>
              <w:t>55.4%</w:t>
            </w:r>
          </w:p>
        </w:tc>
        <w:tc>
          <w:tcPr>
            <w:tcW w:w="60" w:type="dxa"/>
            <w:tcBorders/>
            <w:shd w:fill="D5EBF6" w:val="clear"/>
            <w:vAlign w:val="center"/>
          </w:tcPr>
          <w:p>
            <w:pPr>
              <w:pStyle w:val="TableContents"/>
              <w:bidi w:val="0"/>
              <w:spacing w:lineRule="atLeast" w:line="300" w:before="0" w:after="0"/>
              <w:jc w:val="left"/>
              <w:rPr/>
            </w:pPr>
            <w:r>
              <w:rPr/>
              <w:t> </w:t>
            </w:r>
          </w:p>
        </w:tc>
        <w:tc>
          <w:tcPr>
            <w:tcW w:w="24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1130" w:type="dxa"/>
            <w:tcBorders/>
            <w:shd w:fill="D5EBF6" w:val="clear"/>
            <w:vAlign w:val="center"/>
          </w:tcPr>
          <w:p>
            <w:pPr>
              <w:pStyle w:val="TableContents"/>
              <w:bidi w:val="0"/>
              <w:spacing w:lineRule="atLeast" w:line="300" w:before="0" w:after="0"/>
              <w:jc w:val="center"/>
              <w:rPr>
                <w:rFonts w:ascii="ARIAL" w:hAnsi="ARIAL"/>
                <w:sz w:val="20"/>
              </w:rPr>
            </w:pPr>
            <w:r>
              <w:rPr>
                <w:rFonts w:ascii="ARIAL" w:hAnsi="ARIAL"/>
                <w:sz w:val="20"/>
              </w:rPr>
              <w:t>48.3 - 50.3%</w:t>
            </w:r>
          </w:p>
        </w:tc>
        <w:tc>
          <w:tcPr>
            <w:tcW w:w="75" w:type="dxa"/>
            <w:tcBorders/>
            <w:shd w:fill="D5EBF6" w:val="clear"/>
            <w:vAlign w:val="center"/>
          </w:tcPr>
          <w:p>
            <w:pPr>
              <w:pStyle w:val="TableContents"/>
              <w:bidi w:val="0"/>
              <w:spacing w:lineRule="atLeast" w:line="300" w:before="0" w:after="0"/>
              <w:jc w:val="left"/>
              <w:rPr/>
            </w:pPr>
            <w:r>
              <w:rPr/>
              <w:t> </w:t>
            </w:r>
          </w:p>
        </w:tc>
      </w:tr>
      <w:tr>
        <w:trPr/>
        <w:tc>
          <w:tcPr>
            <w:tcW w:w="2165" w:type="dxa"/>
            <w:tcBorders/>
            <w:vAlign w:val="center"/>
          </w:tcPr>
          <w:p>
            <w:pPr>
              <w:pStyle w:val="TableContents"/>
              <w:bidi w:val="0"/>
              <w:spacing w:lineRule="atLeast" w:line="300" w:before="0" w:after="0"/>
              <w:jc w:val="left"/>
              <w:rPr/>
            </w:pPr>
            <w:r>
              <w:rPr/>
              <w:t> </w:t>
            </w:r>
            <w:r>
              <w:rPr>
                <w:rFonts w:ascii="ARIAL" w:hAnsi="ARIAL"/>
                <w:sz w:val="20"/>
              </w:rPr>
              <w:t>Expected life (in years)</w:t>
            </w:r>
          </w:p>
        </w:tc>
        <w:tc>
          <w:tcPr>
            <w:tcW w:w="24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lineRule="atLeast" w:line="300" w:before="0" w:after="0"/>
              <w:jc w:val="left"/>
              <w:rPr/>
            </w:pPr>
            <w:r>
              <w:rPr/>
              <w:t> </w:t>
            </w:r>
          </w:p>
        </w:tc>
        <w:tc>
          <w:tcPr>
            <w:tcW w:w="407" w:type="dxa"/>
            <w:tcBorders/>
            <w:vAlign w:val="center"/>
          </w:tcPr>
          <w:p>
            <w:pPr>
              <w:pStyle w:val="TableContents"/>
              <w:bidi w:val="0"/>
              <w:spacing w:lineRule="atLeast" w:line="300" w:before="0" w:after="0"/>
              <w:jc w:val="center"/>
              <w:rPr>
                <w:rFonts w:ascii="ARIAL" w:hAnsi="ARIAL"/>
                <w:sz w:val="20"/>
              </w:rPr>
            </w:pPr>
            <w:r>
              <w:rPr>
                <w:rFonts w:ascii="ARIAL" w:hAnsi="ARIAL"/>
                <w:sz w:val="20"/>
              </w:rPr>
              <w:t>N/A</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lineRule="atLeast" w:line="300" w:before="0" w:after="0"/>
              <w:jc w:val="left"/>
              <w:rPr/>
            </w:pPr>
            <w:r>
              <w:rPr/>
              <w:t> </w:t>
            </w:r>
          </w:p>
        </w:tc>
        <w:tc>
          <w:tcPr>
            <w:tcW w:w="391" w:type="dxa"/>
            <w:tcBorders/>
            <w:vAlign w:val="center"/>
          </w:tcPr>
          <w:p>
            <w:pPr>
              <w:pStyle w:val="TableContents"/>
              <w:bidi w:val="0"/>
              <w:spacing w:lineRule="atLeast" w:line="300" w:before="0" w:after="0"/>
              <w:jc w:val="center"/>
              <w:rPr>
                <w:rFonts w:ascii="ARIAL" w:hAnsi="ARIAL"/>
                <w:sz w:val="20"/>
              </w:rPr>
            </w:pPr>
            <w:r>
              <w:rPr>
                <w:rFonts w:ascii="ARIAL" w:hAnsi="ARIAL"/>
                <w:sz w:val="20"/>
              </w:rPr>
              <w:t>N/A</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830" w:type="dxa"/>
            <w:tcBorders/>
            <w:vAlign w:val="center"/>
          </w:tcPr>
          <w:p>
            <w:pPr>
              <w:pStyle w:val="TableContents"/>
              <w:bidi w:val="0"/>
              <w:spacing w:lineRule="atLeast" w:line="300" w:before="0" w:after="0"/>
              <w:jc w:val="center"/>
              <w:rPr>
                <w:rFonts w:ascii="ARIAL" w:hAnsi="ARIAL"/>
                <w:sz w:val="20"/>
              </w:rPr>
            </w:pPr>
            <w:r>
              <w:rPr>
                <w:rFonts w:ascii="ARIAL" w:hAnsi="ARIAL"/>
                <w:sz w:val="20"/>
              </w:rPr>
              <w:t>4.2 years</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130" w:type="dxa"/>
            <w:tcBorders/>
            <w:vAlign w:val="center"/>
          </w:tcPr>
          <w:p>
            <w:pPr>
              <w:pStyle w:val="TableContents"/>
              <w:bidi w:val="0"/>
              <w:spacing w:lineRule="atLeast" w:line="300" w:before="0" w:after="0"/>
              <w:jc w:val="center"/>
              <w:rPr>
                <w:rFonts w:ascii="ARIAL" w:hAnsi="ARIAL"/>
                <w:sz w:val="20"/>
              </w:rPr>
            </w:pPr>
            <w:r>
              <w:rPr>
                <w:rFonts w:ascii="ARIAL" w:hAnsi="ARIAL"/>
                <w:sz w:val="20"/>
              </w:rPr>
              <w:t>4.2 years</w:t>
            </w:r>
          </w:p>
        </w:tc>
        <w:tc>
          <w:tcPr>
            <w:tcW w:w="75" w:type="dxa"/>
            <w:tcBorders/>
            <w:vAlign w:val="center"/>
          </w:tcPr>
          <w:p>
            <w:pPr>
              <w:pStyle w:val="TableContents"/>
              <w:bidi w:val="0"/>
              <w:spacing w:lineRule="atLeast" w:line="300" w:before="0" w:after="0"/>
              <w:jc w:val="left"/>
              <w:rPr/>
            </w:pPr>
            <w:r>
              <w:rPr/>
              <w:t> </w:t>
            </w:r>
          </w:p>
        </w:tc>
      </w:tr>
      <w:tr>
        <w:trPr/>
        <w:tc>
          <w:tcPr>
            <w:tcW w:w="2165" w:type="dxa"/>
            <w:tcBorders/>
            <w:shd w:fill="D5EBF6" w:val="clear"/>
            <w:vAlign w:val="center"/>
          </w:tcPr>
          <w:p>
            <w:pPr>
              <w:pStyle w:val="TableContents"/>
              <w:bidi w:val="0"/>
              <w:spacing w:lineRule="atLeast" w:line="300" w:before="0" w:after="0"/>
              <w:jc w:val="left"/>
              <w:rPr/>
            </w:pPr>
            <w:r>
              <w:rPr/>
              <w:t> </w:t>
            </w:r>
            <w:r>
              <w:rPr>
                <w:rFonts w:ascii="ARIAL" w:hAnsi="ARIAL"/>
                <w:sz w:val="20"/>
              </w:rPr>
              <w:t>Expected dividend yield</w:t>
            </w:r>
          </w:p>
        </w:tc>
        <w:tc>
          <w:tcPr>
            <w:tcW w:w="240" w:type="dxa"/>
            <w:tcBorders/>
            <w:shd w:fill="D5EBF6" w:val="clear"/>
            <w:vAlign w:val="center"/>
          </w:tcPr>
          <w:p>
            <w:pPr>
              <w:pStyle w:val="TableContents"/>
              <w:bidi w:val="0"/>
              <w:spacing w:before="0" w:after="283"/>
              <w:jc w:val="left"/>
              <w:rPr/>
            </w:pPr>
            <w:r>
              <w:rPr/>
              <w:t>    </w:t>
            </w:r>
          </w:p>
        </w:tc>
        <w:tc>
          <w:tcPr>
            <w:tcW w:w="93" w:type="dxa"/>
            <w:tcBorders/>
            <w:shd w:fill="D5EBF6" w:val="clear"/>
            <w:vAlign w:val="center"/>
          </w:tcPr>
          <w:p>
            <w:pPr>
              <w:pStyle w:val="TableContents"/>
              <w:bidi w:val="0"/>
              <w:spacing w:lineRule="atLeast" w:line="300" w:before="0" w:after="0"/>
              <w:jc w:val="left"/>
              <w:rPr/>
            </w:pPr>
            <w:r>
              <w:rPr/>
              <w:t> </w:t>
            </w:r>
          </w:p>
        </w:tc>
        <w:tc>
          <w:tcPr>
            <w:tcW w:w="407" w:type="dxa"/>
            <w:tcBorders/>
            <w:shd w:fill="D5EBF6" w:val="clear"/>
            <w:vAlign w:val="center"/>
          </w:tcPr>
          <w:p>
            <w:pPr>
              <w:pStyle w:val="TableContents"/>
              <w:bidi w:val="0"/>
              <w:spacing w:lineRule="atLeast" w:line="300" w:before="0" w:after="0"/>
              <w:jc w:val="center"/>
              <w:rPr>
                <w:rFonts w:ascii="ARIAL" w:hAnsi="ARIAL"/>
                <w:sz w:val="20"/>
              </w:rPr>
            </w:pPr>
            <w:r>
              <w:rPr>
                <w:rFonts w:ascii="ARIAL" w:hAnsi="ARIAL"/>
                <w:sz w:val="20"/>
              </w:rPr>
              <w:t>N/A</w:t>
            </w:r>
          </w:p>
        </w:tc>
        <w:tc>
          <w:tcPr>
            <w:tcW w:w="60" w:type="dxa"/>
            <w:tcBorders/>
            <w:shd w:fill="D5EBF6" w:val="clear"/>
            <w:vAlign w:val="center"/>
          </w:tcPr>
          <w:p>
            <w:pPr>
              <w:pStyle w:val="TableContents"/>
              <w:bidi w:val="0"/>
              <w:spacing w:lineRule="atLeast" w:line="300" w:before="0" w:after="0"/>
              <w:jc w:val="left"/>
              <w:rPr/>
            </w:pPr>
            <w:r>
              <w:rPr/>
              <w:t> </w:t>
            </w:r>
          </w:p>
        </w:tc>
        <w:tc>
          <w:tcPr>
            <w:tcW w:w="24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lineRule="atLeast" w:line="300" w:before="0" w:after="0"/>
              <w:jc w:val="left"/>
              <w:rPr/>
            </w:pPr>
            <w:r>
              <w:rPr/>
              <w:t> </w:t>
            </w:r>
          </w:p>
        </w:tc>
        <w:tc>
          <w:tcPr>
            <w:tcW w:w="391" w:type="dxa"/>
            <w:tcBorders/>
            <w:shd w:fill="D5EBF6" w:val="clear"/>
            <w:vAlign w:val="center"/>
          </w:tcPr>
          <w:p>
            <w:pPr>
              <w:pStyle w:val="TableContents"/>
              <w:bidi w:val="0"/>
              <w:spacing w:lineRule="atLeast" w:line="300" w:before="0" w:after="0"/>
              <w:jc w:val="center"/>
              <w:rPr>
                <w:rFonts w:ascii="ARIAL" w:hAnsi="ARIAL"/>
                <w:sz w:val="20"/>
              </w:rPr>
            </w:pPr>
            <w:r>
              <w:rPr>
                <w:rFonts w:ascii="ARIAL" w:hAnsi="ARIAL"/>
                <w:sz w:val="20"/>
              </w:rPr>
              <w:t>N/A</w:t>
            </w:r>
          </w:p>
        </w:tc>
        <w:tc>
          <w:tcPr>
            <w:tcW w:w="60" w:type="dxa"/>
            <w:tcBorders/>
            <w:shd w:fill="D5EBF6" w:val="clear"/>
            <w:vAlign w:val="center"/>
          </w:tcPr>
          <w:p>
            <w:pPr>
              <w:pStyle w:val="TableContents"/>
              <w:bidi w:val="0"/>
              <w:spacing w:lineRule="atLeast" w:line="300" w:before="0" w:after="0"/>
              <w:jc w:val="left"/>
              <w:rPr/>
            </w:pPr>
            <w:r>
              <w:rPr/>
              <w:t> </w:t>
            </w:r>
          </w:p>
        </w:tc>
        <w:tc>
          <w:tcPr>
            <w:tcW w:w="24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830" w:type="dxa"/>
            <w:tcBorders/>
            <w:shd w:fill="D5EBF6" w:val="clear"/>
            <w:vAlign w:val="center"/>
          </w:tcPr>
          <w:p>
            <w:pPr>
              <w:pStyle w:val="TableContents"/>
              <w:bidi w:val="0"/>
              <w:spacing w:lineRule="atLeast" w:line="300" w:before="0" w:after="0"/>
              <w:jc w:val="center"/>
              <w:rPr>
                <w:rFonts w:ascii="ARIAL" w:hAnsi="ARIAL"/>
                <w:sz w:val="20"/>
              </w:rPr>
            </w:pPr>
            <w:r>
              <w:rPr>
                <w:rFonts w:ascii="ARIAL" w:hAnsi="ARIAL"/>
                <w:sz w:val="20"/>
              </w:rPr>
              <w:t>4.3%</w:t>
            </w:r>
          </w:p>
        </w:tc>
        <w:tc>
          <w:tcPr>
            <w:tcW w:w="60" w:type="dxa"/>
            <w:tcBorders/>
            <w:shd w:fill="D5EBF6" w:val="clear"/>
            <w:vAlign w:val="center"/>
          </w:tcPr>
          <w:p>
            <w:pPr>
              <w:pStyle w:val="TableContents"/>
              <w:bidi w:val="0"/>
              <w:spacing w:lineRule="atLeast" w:line="300" w:before="0" w:after="0"/>
              <w:jc w:val="left"/>
              <w:rPr/>
            </w:pPr>
            <w:r>
              <w:rPr/>
              <w:t> </w:t>
            </w:r>
          </w:p>
        </w:tc>
        <w:tc>
          <w:tcPr>
            <w:tcW w:w="24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1130" w:type="dxa"/>
            <w:tcBorders/>
            <w:shd w:fill="D5EBF6" w:val="clear"/>
            <w:vAlign w:val="center"/>
          </w:tcPr>
          <w:p>
            <w:pPr>
              <w:pStyle w:val="TableContents"/>
              <w:bidi w:val="0"/>
              <w:spacing w:lineRule="atLeast" w:line="300" w:before="0" w:after="0"/>
              <w:jc w:val="center"/>
              <w:rPr>
                <w:rFonts w:ascii="ARIAL" w:hAnsi="ARIAL"/>
                <w:sz w:val="20"/>
              </w:rPr>
            </w:pPr>
            <w:r>
              <w:rPr>
                <w:rFonts w:ascii="ARIAL" w:hAnsi="ARIAL"/>
                <w:sz w:val="20"/>
              </w:rPr>
              <w:t>4.2%</w:t>
            </w:r>
          </w:p>
        </w:tc>
        <w:tc>
          <w:tcPr>
            <w:tcW w:w="75" w:type="dxa"/>
            <w:tcBorders/>
            <w:shd w:fill="D5EBF6" w:val="clear"/>
            <w:vAlign w:val="center"/>
          </w:tcPr>
          <w:p>
            <w:pPr>
              <w:pStyle w:val="TableContents"/>
              <w:bidi w:val="0"/>
              <w:spacing w:lineRule="atLeast" w:line="300" w:before="0" w:after="0"/>
              <w:jc w:val="left"/>
              <w:rPr/>
            </w:pPr>
            <w:r>
              <w:rPr/>
              <w:t> </w:t>
            </w:r>
          </w:p>
        </w:tc>
      </w:tr>
      <w:tr>
        <w:trPr/>
        <w:tc>
          <w:tcPr>
            <w:tcW w:w="2165" w:type="dxa"/>
            <w:tcBorders>
              <w:bottom w:val="single" w:sz="6" w:space="0" w:color="000000"/>
            </w:tcBorders>
            <w:tcMar>
              <w:bottom w:w="60" w:type="dxa"/>
            </w:tcMar>
            <w:vAlign w:val="center"/>
          </w:tcPr>
          <w:p>
            <w:pPr>
              <w:pStyle w:val="TableContents"/>
              <w:bidi w:val="0"/>
              <w:spacing w:lineRule="atLeast" w:line="300" w:before="0" w:after="0"/>
              <w:jc w:val="left"/>
              <w:rPr/>
            </w:pPr>
            <w:r>
              <w:rPr/>
              <w:t> </w:t>
            </w:r>
            <w:r>
              <w:rPr>
                <w:rFonts w:ascii="ARIAL" w:hAnsi="ARIAL"/>
                <w:sz w:val="20"/>
              </w:rPr>
              <w:t>Risk-free rate</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3"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407" w:type="dxa"/>
            <w:tcBorders>
              <w:bottom w:val="single" w:sz="6" w:space="0" w:color="000000"/>
            </w:tcBorders>
            <w:tcMar>
              <w:bottom w:w="60" w:type="dxa"/>
            </w:tcMar>
            <w:vAlign w:val="center"/>
          </w:tcPr>
          <w:p>
            <w:pPr>
              <w:pStyle w:val="TableContents"/>
              <w:bidi w:val="0"/>
              <w:spacing w:lineRule="atLeast" w:line="300" w:before="0" w:after="0"/>
              <w:jc w:val="center"/>
              <w:rPr>
                <w:rFonts w:ascii="ARIAL" w:hAnsi="ARIAL"/>
                <w:sz w:val="20"/>
              </w:rPr>
            </w:pPr>
            <w:r>
              <w:rPr>
                <w:rFonts w:ascii="ARIAL" w:hAnsi="ARIAL"/>
                <w:sz w:val="20"/>
              </w:rPr>
              <w:t>N/A</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391" w:type="dxa"/>
            <w:tcBorders>
              <w:bottom w:val="single" w:sz="6" w:space="0" w:color="000000"/>
            </w:tcBorders>
            <w:tcMar>
              <w:bottom w:w="60" w:type="dxa"/>
            </w:tcMar>
            <w:vAlign w:val="center"/>
          </w:tcPr>
          <w:p>
            <w:pPr>
              <w:pStyle w:val="TableContents"/>
              <w:bidi w:val="0"/>
              <w:spacing w:lineRule="atLeast" w:line="300" w:before="0" w:after="0"/>
              <w:jc w:val="center"/>
              <w:rPr>
                <w:rFonts w:ascii="ARIAL" w:hAnsi="ARIAL"/>
                <w:sz w:val="20"/>
              </w:rPr>
            </w:pPr>
            <w:r>
              <w:rPr>
                <w:rFonts w:ascii="ARIAL" w:hAnsi="ARIAL"/>
                <w:sz w:val="20"/>
              </w:rPr>
              <w:t>N/A</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830" w:type="dxa"/>
            <w:tcBorders>
              <w:bottom w:val="single" w:sz="6" w:space="0" w:color="000000"/>
            </w:tcBorders>
            <w:tcMar>
              <w:bottom w:w="60" w:type="dxa"/>
            </w:tcMar>
            <w:vAlign w:val="center"/>
          </w:tcPr>
          <w:p>
            <w:pPr>
              <w:pStyle w:val="TableContents"/>
              <w:bidi w:val="0"/>
              <w:spacing w:lineRule="atLeast" w:line="300" w:before="0" w:after="0"/>
              <w:jc w:val="center"/>
              <w:rPr>
                <w:rFonts w:ascii="ARIAL" w:hAnsi="ARIAL"/>
                <w:sz w:val="20"/>
              </w:rPr>
            </w:pPr>
            <w:r>
              <w:rPr>
                <w:rFonts w:ascii="ARIAL" w:hAnsi="ARIAL"/>
                <w:sz w:val="20"/>
              </w:rPr>
              <w:t>3.6%</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130" w:type="dxa"/>
            <w:tcBorders>
              <w:bottom w:val="single" w:sz="6" w:space="0" w:color="000000"/>
            </w:tcBorders>
            <w:tcMar>
              <w:bottom w:w="60" w:type="dxa"/>
            </w:tcMar>
            <w:vAlign w:val="center"/>
          </w:tcPr>
          <w:p>
            <w:pPr>
              <w:pStyle w:val="TableContents"/>
              <w:bidi w:val="0"/>
              <w:spacing w:lineRule="atLeast" w:line="300" w:before="0" w:after="0"/>
              <w:jc w:val="center"/>
              <w:rPr>
                <w:rFonts w:ascii="ARIAL" w:hAnsi="ARIAL"/>
                <w:sz w:val="20"/>
              </w:rPr>
            </w:pPr>
            <w:r>
              <w:rPr>
                <w:rFonts w:ascii="ARIAL" w:hAnsi="ARIAL"/>
                <w:sz w:val="20"/>
              </w:rPr>
              <w:t>3.8 - 4.3%</w:t>
            </w:r>
          </w:p>
        </w:tc>
        <w:tc>
          <w:tcPr>
            <w:tcW w:w="75"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r>
      <w:tr>
        <w:trPr/>
        <w:tc>
          <w:tcPr>
            <w:tcW w:w="216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3" w:type="dxa"/>
            <w:tcBorders>
              <w:bottom w:val="single" w:sz="6" w:space="0" w:color="000000"/>
            </w:tcBorders>
            <w:tcMar>
              <w:bottom w:w="28" w:type="dxa"/>
            </w:tcMar>
            <w:vAlign w:val="center"/>
          </w:tcPr>
          <w:p>
            <w:pPr>
              <w:pStyle w:val="TableContents"/>
              <w:bidi w:val="0"/>
              <w:spacing w:before="0" w:after="0"/>
              <w:jc w:val="left"/>
              <w:rPr/>
            </w:pPr>
            <w:r>
              <w:rPr/>
              <w:t> </w:t>
            </w:r>
          </w:p>
        </w:tc>
        <w:tc>
          <w:tcPr>
            <w:tcW w:w="407" w:type="dxa"/>
            <w:tcBorders>
              <w:bottom w:val="single" w:sz="6" w:space="0" w:color="000000"/>
            </w:tcBorders>
            <w:tcMar>
              <w:bottom w:w="28" w:type="dxa"/>
            </w:tcMar>
            <w:vAlign w:val="center"/>
          </w:tcPr>
          <w:p>
            <w:pPr>
              <w:pStyle w:val="TableContents"/>
              <w:bidi w:val="0"/>
              <w:spacing w:before="0" w:after="0"/>
              <w:jc w:val="righ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391"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73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both"/>
              <w:rPr>
                <w:rFonts w:ascii="ARIAL" w:hAnsi="ARIAL"/>
                <w:sz w:val="18"/>
              </w:rPr>
            </w:pPr>
            <w:r>
              <w:rPr>
                <w:rFonts w:ascii="ARIAL" w:hAnsi="ARIAL"/>
                <w:sz w:val="18"/>
              </w:rPr>
              <w:t xml:space="preserve">For 2025, the values included in this column for the compensation actually paid to PEO 1 and the average compensation actually paid to our </w:t>
            </w:r>
          </w:p>
          <w:p>
            <w:pPr>
              <w:pStyle w:val="TableContents"/>
              <w:bidi w:val="0"/>
              <w:spacing w:before="0" w:after="0"/>
              <w:jc w:val="both"/>
              <w:rPr>
                <w:rFonts w:ascii="ARIAL" w:hAnsi="ARIAL"/>
                <w:sz w:val="18"/>
              </w:rPr>
            </w:pPr>
            <w:r>
              <w:rPr>
                <w:rFonts w:ascii="ARIAL" w:hAnsi="ARIAL"/>
                <w:sz w:val="18"/>
              </w:rPr>
              <w:t>Non-PEO</w:t>
            </w:r>
          </w:p>
          <w:p>
            <w:pPr>
              <w:pStyle w:val="TableContents"/>
              <w:bidi w:val="0"/>
              <w:spacing w:before="0" w:after="0"/>
              <w:jc w:val="both"/>
              <w:rPr>
                <w:rFonts w:ascii="ARIAL" w:hAnsi="ARIAL"/>
                <w:sz w:val="18"/>
              </w:rPr>
            </w:pPr>
            <w:r>
              <w:rPr>
                <w:rFonts w:ascii="ARIAL" w:hAnsi="ARIAL"/>
                <w:sz w:val="18"/>
              </w:rPr>
              <w:t xml:space="preserve">NEOs reflect the following adjustments to the values included in column </w:t>
            </w:r>
          </w:p>
          <w:p>
            <w:pPr>
              <w:pStyle w:val="TableContents"/>
              <w:bidi w:val="0"/>
              <w:spacing w:before="0" w:after="0"/>
              <w:jc w:val="both"/>
              <w:rPr>
                <w:rFonts w:ascii="ARIAL" w:hAnsi="ARIAL"/>
                <w:sz w:val="18"/>
              </w:rPr>
            </w:pPr>
            <w:r>
              <w:rPr>
                <w:rFonts w:ascii="ARIAL" w:hAnsi="ARIAL"/>
                <w:sz w:val="18"/>
              </w:rPr>
              <w:t>(b-1),</w:t>
            </w:r>
          </w:p>
          <w:p>
            <w:pPr>
              <w:pStyle w:val="TableContents"/>
              <w:bidi w:val="0"/>
              <w:spacing w:before="0" w:after="0"/>
              <w:jc w:val="both"/>
              <w:rPr>
                <w:rFonts w:ascii="ARIAL" w:hAnsi="ARIAL"/>
                <w:sz w:val="18"/>
              </w:rPr>
            </w:pPr>
            <w:r>
              <w:rPr>
                <w:rFonts w:ascii="ARIAL" w:hAnsi="ARIAL"/>
                <w:sz w:val="18"/>
              </w:rPr>
              <w:t xml:space="preserve">column </w:t>
            </w:r>
          </w:p>
          <w:p>
            <w:pPr>
              <w:pStyle w:val="TableContents"/>
              <w:bidi w:val="0"/>
              <w:spacing w:before="0" w:after="0"/>
              <w:jc w:val="both"/>
              <w:rPr>
                <w:rFonts w:ascii="ARIAL" w:hAnsi="ARIAL"/>
                <w:sz w:val="18"/>
              </w:rPr>
            </w:pPr>
            <w:r>
              <w:rPr>
                <w:rFonts w:ascii="ARIAL" w:hAnsi="ARIAL"/>
                <w:sz w:val="18"/>
              </w:rPr>
              <w:t>(b-2)</w:t>
            </w:r>
          </w:p>
          <w:p>
            <w:pPr>
              <w:pStyle w:val="TableContents"/>
              <w:bidi w:val="0"/>
              <w:spacing w:before="0" w:after="0"/>
              <w:jc w:val="both"/>
              <w:rPr>
                <w:rFonts w:ascii="ARIAL" w:hAnsi="ARIAL"/>
                <w:sz w:val="18"/>
              </w:rPr>
            </w:pPr>
            <w:r>
              <w:rPr>
                <w:rFonts w:ascii="ARIAL" w:hAnsi="ARIAL"/>
                <w:sz w:val="18"/>
              </w:rPr>
              <w:t xml:space="preserve">and column (d),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
        <w:gridCol w:w="60"/>
        <w:gridCol w:w="7677"/>
        <w:gridCol w:w="60"/>
        <w:gridCol w:w="60"/>
        <w:gridCol w:w="1031"/>
        <w:gridCol w:w="60"/>
        <w:gridCol w:w="60"/>
        <w:gridCol w:w="60"/>
        <w:gridCol w:w="926"/>
        <w:gridCol w:w="76"/>
      </w:tblGrid>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677"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1" w:type="dxa"/>
            <w:gridSpan w:val="2"/>
            <w:tcBorders>
              <w:bottom w:val="single" w:sz="6" w:space="0" w:color="000000"/>
            </w:tcBorders>
            <w:tcMar>
              <w:bottom w:w="28" w:type="dxa"/>
            </w:tcMar>
            <w:vAlign w:val="center"/>
          </w:tcPr>
          <w:p>
            <w:pPr>
              <w:pStyle w:val="TableContents"/>
              <w:bidi w:val="0"/>
              <w:spacing w:before="0" w:after="0"/>
              <w:jc w:val="center"/>
              <w:rPr>
                <w:rFonts w:ascii="ARIAL" w:hAnsi="ARIAL"/>
                <w:b/>
                <w:sz w:val="18"/>
              </w:rPr>
            </w:pPr>
            <w:r>
              <w:rPr>
                <w:rFonts w:ascii="ARIAL" w:hAnsi="ARIAL"/>
                <w:b/>
                <w:sz w:val="18"/>
              </w:rPr>
              <w:t>PEO 1</w:t>
            </w:r>
          </w:p>
          <w:p>
            <w:pPr>
              <w:pStyle w:val="TableContents"/>
              <w:bidi w:val="0"/>
              <w:spacing w:before="0" w:after="20"/>
              <w:jc w:val="center"/>
              <w:rPr>
                <w:rFonts w:ascii="ARIAL" w:hAnsi="ARIAL"/>
                <w:b/>
                <w:sz w:val="18"/>
              </w:rPr>
            </w:pPr>
            <w:r>
              <w:rPr>
                <w:rFonts w:ascii="ARIAL" w:hAnsi="ARIAL"/>
                <w:b/>
                <w:sz w:val="18"/>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6" w:type="dxa"/>
            <w:gridSpan w:val="2"/>
            <w:tcBorders>
              <w:bottom w:val="single" w:sz="6" w:space="0" w:color="000000"/>
            </w:tcBorders>
            <w:tcMar>
              <w:bottom w:w="28" w:type="dxa"/>
            </w:tcMar>
            <w:vAlign w:val="center"/>
          </w:tcPr>
          <w:p>
            <w:pPr>
              <w:pStyle w:val="TableContents"/>
              <w:bidi w:val="0"/>
              <w:spacing w:before="0" w:after="0"/>
              <w:jc w:val="center"/>
              <w:rPr>
                <w:rFonts w:ascii="ARIAL" w:hAnsi="ARIAL"/>
                <w:b/>
                <w:sz w:val="18"/>
              </w:rPr>
            </w:pPr>
            <w:r>
              <w:rPr>
                <w:rFonts w:ascii="ARIAL" w:hAnsi="ARIAL"/>
                <w:b/>
                <w:sz w:val="18"/>
              </w:rPr>
              <w:t>Non-PEO</w:t>
            </w:r>
          </w:p>
          <w:p>
            <w:pPr>
              <w:pStyle w:val="TableContents"/>
              <w:bidi w:val="0"/>
              <w:spacing w:before="0" w:after="0"/>
              <w:jc w:val="center"/>
              <w:rPr>
                <w:rFonts w:ascii="ARIAL" w:hAnsi="ARIAL"/>
                <w:b/>
                <w:sz w:val="18"/>
              </w:rPr>
            </w:pPr>
            <w:r>
              <w:rPr>
                <w:rFonts w:ascii="ARIAL" w:hAnsi="ARIAL"/>
                <w:b/>
                <w:sz w:val="18"/>
              </w:rPr>
              <w:br/>
              <w:t>NEOs</w:t>
              <w:br/>
              <w:t>(Average)</w:t>
            </w:r>
          </w:p>
          <w:p>
            <w:pPr>
              <w:pStyle w:val="TableContents"/>
              <w:bidi w:val="0"/>
              <w:spacing w:before="0" w:after="20"/>
              <w:jc w:val="center"/>
              <w:rPr>
                <w:rFonts w:ascii="ARIAL" w:hAnsi="ARIAL"/>
                <w:b/>
                <w:sz w:val="18"/>
              </w:rPr>
            </w:pPr>
            <w:r>
              <w:rPr>
                <w:rFonts w:ascii="ARIAL" w:hAnsi="ARIAL"/>
                <w:b/>
                <w:sz w:val="18"/>
              </w:rPr>
              <w:t>($)</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677" w:type="dxa"/>
            <w:tcBorders>
              <w:bottom w:val="single" w:sz="6" w:space="0" w:color="000000"/>
            </w:tcBorders>
            <w:tcMar>
              <w:bottom w:w="28" w:type="dxa"/>
            </w:tcMar>
            <w:vAlign w:val="center"/>
          </w:tcPr>
          <w:p>
            <w:pPr>
              <w:pStyle w:val="TableContents"/>
              <w:bidi w:val="0"/>
              <w:spacing w:lineRule="atLeast" w:line="142"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1"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6" w:type="dxa"/>
            <w:tcBorders>
              <w:bottom w:val="single" w:sz="6" w:space="0" w:color="000000"/>
            </w:tcBorders>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35"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677"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rFonts w:ascii="ARIAL" w:hAnsi="ARIAL"/>
                <w:sz w:val="18"/>
              </w:rPr>
            </w:pPr>
            <w:r>
              <w:rPr>
                <w:rFonts w:ascii="ARIAL" w:hAnsi="ARIAL"/>
                <w:sz w:val="18"/>
              </w:rPr>
              <w:t>Summary Compensation Table Total</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1031"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center"/>
              <w:rPr>
                <w:rFonts w:ascii="ARIAL" w:hAnsi="ARIAL"/>
                <w:sz w:val="18"/>
              </w:rPr>
            </w:pPr>
            <w:r>
              <w:rPr>
                <w:rFonts w:ascii="ARIAL" w:hAnsi="ARIAL"/>
                <w:sz w:val="18"/>
              </w:rPr>
              <w:t>12,497,912</w:t>
            </w:r>
          </w:p>
        </w:tc>
        <w:tc>
          <w:tcPr>
            <w:tcW w:w="60"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926"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center"/>
              <w:rPr>
                <w:rFonts w:ascii="ARIAL" w:hAnsi="ARIAL"/>
                <w:sz w:val="18"/>
              </w:rPr>
            </w:pPr>
            <w:r>
              <w:rPr>
                <w:rFonts w:ascii="ARIAL" w:hAnsi="ARIAL"/>
                <w:sz w:val="18"/>
              </w:rPr>
              <w:t>3,803,766</w:t>
            </w:r>
          </w:p>
        </w:tc>
        <w:tc>
          <w:tcPr>
            <w:tcW w:w="76"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77"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aggregate change in actuarial present value of accumulated pension benefits under all defined benefit and pension plans reported in the SCT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1031" w:type="dxa"/>
            <w:tcBorders/>
            <w:vAlign w:val="center"/>
          </w:tcPr>
          <w:p>
            <w:pPr>
              <w:pStyle w:val="TableContents"/>
              <w:bidi w:val="0"/>
              <w:spacing w:before="0" w:after="0"/>
              <w:jc w:val="left"/>
              <w:rPr/>
            </w:pPr>
            <w:r>
              <w:rPr/>
              <w:t> </w:t>
            </w:r>
          </w:p>
          <w:p>
            <w:pPr>
              <w:pStyle w:val="TableContents"/>
              <w:bidi w:val="0"/>
              <w:spacing w:lineRule="atLeast" w:line="300" w:before="0" w:after="2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926"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6" w:type="dxa"/>
            <w:tcBorders/>
            <w:vAlign w:val="center"/>
          </w:tcPr>
          <w:p>
            <w:pPr>
              <w:pStyle w:val="TableContents"/>
              <w:bidi w:val="0"/>
              <w:spacing w:lineRule="atLeast" w:line="300" w:before="0" w:after="0"/>
              <w:jc w:val="left"/>
              <w:rPr/>
            </w:pPr>
            <w:r>
              <w:rPr/>
              <w:t> </w:t>
            </w:r>
          </w:p>
        </w:tc>
      </w:tr>
      <w:tr>
        <w:trPr/>
        <w:tc>
          <w:tcPr>
            <w:tcW w:w="135"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677" w:type="dxa"/>
            <w:tcBorders/>
            <w:shd w:fill="D5EBF6" w:val="clear"/>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service cost of pension benefits</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1031"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center"/>
              <w:rPr>
                <w:rFonts w:ascii="ARIAL" w:hAnsi="ARIAL"/>
                <w:sz w:val="18"/>
              </w:rPr>
            </w:pPr>
            <w:r>
              <w:rPr>
                <w:rFonts w:ascii="ARIAL" w:hAnsi="ARIAL"/>
                <w:sz w:val="18"/>
              </w:rPr>
              <w:t>-</w:t>
            </w:r>
          </w:p>
        </w:tc>
        <w:tc>
          <w:tcPr>
            <w:tcW w:w="60"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926" w:type="dxa"/>
            <w:tcBorders/>
            <w:shd w:fill="D5EBF6" w:val="cle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6" w:type="dxa"/>
            <w:tcBorders/>
            <w:shd w:fill="D5EBF6" w:val="clear"/>
            <w:vAlign w:val="center"/>
          </w:tcPr>
          <w:p>
            <w:pPr>
              <w:pStyle w:val="TableContents"/>
              <w:bidi w:val="0"/>
              <w:spacing w:lineRule="atLeast" w:line="300" w:before="0" w:after="0"/>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77"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prior service cost of pension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1031" w:type="dxa"/>
            <w:tcBorders/>
            <w:vAlign w:val="center"/>
          </w:tcPr>
          <w:p>
            <w:pPr>
              <w:pStyle w:val="TableContents"/>
              <w:bidi w:val="0"/>
              <w:spacing w:before="0" w:after="0"/>
              <w:jc w:val="left"/>
              <w:rPr/>
            </w:pPr>
            <w:r>
              <w:rPr/>
              <w:t> </w:t>
            </w:r>
          </w:p>
          <w:p>
            <w:pPr>
              <w:pStyle w:val="TableContents"/>
              <w:bidi w:val="0"/>
              <w:spacing w:lineRule="atLeast" w:line="300" w:before="0" w:after="2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926"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6" w:type="dxa"/>
            <w:tcBorders/>
            <w:vAlign w:val="center"/>
          </w:tcPr>
          <w:p>
            <w:pPr>
              <w:pStyle w:val="TableContents"/>
              <w:bidi w:val="0"/>
              <w:spacing w:lineRule="atLeast" w:line="300" w:before="0" w:after="0"/>
              <w:jc w:val="left"/>
              <w:rPr/>
            </w:pPr>
            <w:r>
              <w:rPr/>
              <w:t> </w:t>
            </w:r>
          </w:p>
        </w:tc>
      </w:tr>
      <w:tr>
        <w:trPr/>
        <w:tc>
          <w:tcPr>
            <w:tcW w:w="135"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677" w:type="dxa"/>
            <w:tcBorders/>
            <w:shd w:fill="D5EBF6" w:val="clear"/>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SCT Stock Awards column value</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1031"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center"/>
              <w:rPr>
                <w:rFonts w:ascii="ARIAL" w:hAnsi="ARIAL"/>
                <w:sz w:val="18"/>
              </w:rPr>
            </w:pPr>
            <w:r>
              <w:rPr>
                <w:rFonts w:ascii="ARIAL" w:hAnsi="ARIAL"/>
                <w:sz w:val="18"/>
              </w:rPr>
              <w:t>(8,999,993)</w:t>
            </w:r>
          </w:p>
        </w:tc>
        <w:tc>
          <w:tcPr>
            <w:tcW w:w="60"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926" w:type="dxa"/>
            <w:tcBorders/>
            <w:shd w:fill="D5EBF6" w:val="clear"/>
            <w:vAlign w:val="center"/>
          </w:tcPr>
          <w:p>
            <w:pPr>
              <w:pStyle w:val="TableContents"/>
              <w:bidi w:val="0"/>
              <w:spacing w:lineRule="atLeast" w:line="300" w:before="0" w:after="0"/>
              <w:jc w:val="center"/>
              <w:rPr>
                <w:rFonts w:ascii="ARIAL" w:hAnsi="ARIAL"/>
                <w:sz w:val="18"/>
              </w:rPr>
            </w:pPr>
            <w:r>
              <w:rPr>
                <w:rFonts w:ascii="ARIAL" w:hAnsi="ARIAL"/>
                <w:sz w:val="18"/>
              </w:rPr>
              <w:t>(2,276,804)</w:t>
            </w:r>
          </w:p>
        </w:tc>
        <w:tc>
          <w:tcPr>
            <w:tcW w:w="76" w:type="dxa"/>
            <w:tcBorders/>
            <w:shd w:fill="D5EBF6" w:val="clear"/>
            <w:vAlign w:val="center"/>
          </w:tcPr>
          <w:p>
            <w:pPr>
              <w:pStyle w:val="TableContents"/>
              <w:bidi w:val="0"/>
              <w:spacing w:lineRule="atLeast" w:line="300" w:before="0" w:after="0"/>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77"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SCT Option Awards column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1031" w:type="dxa"/>
            <w:tcBorders/>
            <w:vAlign w:val="center"/>
          </w:tcPr>
          <w:p>
            <w:pPr>
              <w:pStyle w:val="TableContents"/>
              <w:bidi w:val="0"/>
              <w:spacing w:before="0" w:after="0"/>
              <w:jc w:val="left"/>
              <w:rPr/>
            </w:pPr>
            <w:r>
              <w:rPr/>
              <w:t> </w:t>
            </w:r>
          </w:p>
          <w:p>
            <w:pPr>
              <w:pStyle w:val="TableContents"/>
              <w:bidi w:val="0"/>
              <w:spacing w:lineRule="atLeast" w:line="300" w:before="0" w:after="2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926"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6" w:type="dxa"/>
            <w:tcBorders/>
            <w:vAlign w:val="center"/>
          </w:tcPr>
          <w:p>
            <w:pPr>
              <w:pStyle w:val="TableContents"/>
              <w:bidi w:val="0"/>
              <w:spacing w:lineRule="atLeast" w:line="300" w:before="0" w:after="0"/>
              <w:jc w:val="left"/>
              <w:rPr/>
            </w:pPr>
            <w:r>
              <w:rPr/>
              <w:t> </w:t>
            </w:r>
          </w:p>
        </w:tc>
      </w:tr>
      <w:tr>
        <w:trPr/>
        <w:tc>
          <w:tcPr>
            <w:tcW w:w="135"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677" w:type="dxa"/>
            <w:tcBorders/>
            <w:shd w:fill="D5EBF6" w:val="clear"/>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xml:space="preserve">+ fair value as of </w:t>
            </w:r>
          </w:p>
          <w:p>
            <w:pPr>
              <w:pStyle w:val="TableContents"/>
              <w:bidi w:val="0"/>
              <w:spacing w:before="0" w:after="20"/>
              <w:jc w:val="both"/>
              <w:rPr>
                <w:rFonts w:ascii="ARIAL" w:hAnsi="ARIAL"/>
                <w:sz w:val="18"/>
              </w:rPr>
            </w:pPr>
            <w:r>
              <w:rPr>
                <w:rFonts w:ascii="ARIAL" w:hAnsi="ARIAL"/>
                <w:sz w:val="18"/>
              </w:rPr>
              <w:t>year-end</w:t>
            </w:r>
          </w:p>
          <w:p>
            <w:pPr>
              <w:pStyle w:val="TableContents"/>
              <w:bidi w:val="0"/>
              <w:spacing w:before="0" w:after="20"/>
              <w:jc w:val="both"/>
              <w:rPr>
                <w:rFonts w:ascii="ARIAL" w:hAnsi="ARIAL"/>
                <w:sz w:val="18"/>
              </w:rPr>
            </w:pPr>
            <w:r>
              <w:rPr>
                <w:rFonts w:ascii="ARIAL" w:hAnsi="ARIAL"/>
                <w:sz w:val="18"/>
              </w:rPr>
              <w:t>of all equity awards granted in the covered fiscal year that are outstanding and unvested as of the end of the covered fiscal year</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1031"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center"/>
              <w:rPr>
                <w:rFonts w:ascii="ARIAL" w:hAnsi="ARIAL"/>
                <w:sz w:val="18"/>
              </w:rPr>
            </w:pPr>
            <w:r>
              <w:rPr>
                <w:rFonts w:ascii="ARIAL" w:hAnsi="ARIAL"/>
                <w:sz w:val="18"/>
              </w:rPr>
              <w:t>5,102,760</w:t>
            </w:r>
          </w:p>
        </w:tc>
        <w:tc>
          <w:tcPr>
            <w:tcW w:w="60"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926" w:type="dxa"/>
            <w:tcBorders/>
            <w:shd w:fill="D5EBF6" w:val="clear"/>
            <w:vAlign w:val="center"/>
          </w:tcPr>
          <w:p>
            <w:pPr>
              <w:pStyle w:val="TableContents"/>
              <w:bidi w:val="0"/>
              <w:spacing w:lineRule="atLeast" w:line="300" w:before="0" w:after="0"/>
              <w:jc w:val="center"/>
              <w:rPr>
                <w:rFonts w:ascii="ARIAL" w:hAnsi="ARIAL"/>
                <w:sz w:val="18"/>
              </w:rPr>
            </w:pPr>
            <w:r>
              <w:rPr>
                <w:rFonts w:ascii="ARIAL" w:hAnsi="ARIAL"/>
                <w:sz w:val="18"/>
              </w:rPr>
              <w:t>1,290,888</w:t>
            </w:r>
          </w:p>
        </w:tc>
        <w:tc>
          <w:tcPr>
            <w:tcW w:w="76" w:type="dxa"/>
            <w:tcBorders/>
            <w:shd w:fill="D5EBF6" w:val="clear"/>
            <w:vAlign w:val="center"/>
          </w:tcPr>
          <w:p>
            <w:pPr>
              <w:pStyle w:val="TableContents"/>
              <w:bidi w:val="0"/>
              <w:spacing w:lineRule="atLeast" w:line="300" w:before="0" w:after="0"/>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77"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amount equal to the change as of the end of the covered fiscal year (from the end of the prior fiscal year) in fair value of equity awards granted in any prior fiscal year that are outstanding and unvested as of the end of the covered fiscal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31" w:type="dxa"/>
            <w:tcBorders/>
            <w:vAlign w:val="center"/>
          </w:tcPr>
          <w:p>
            <w:pPr>
              <w:pStyle w:val="TableContents"/>
              <w:bidi w:val="0"/>
              <w:spacing w:lineRule="atLeast" w:line="300" w:before="0" w:after="0"/>
              <w:jc w:val="center"/>
              <w:rPr>
                <w:rFonts w:ascii="ARIAL" w:hAnsi="ARIAL"/>
                <w:sz w:val="18"/>
              </w:rPr>
            </w:pPr>
            <w:r>
              <w:rPr>
                <w:rFonts w:ascii="ARIAL" w:hAnsi="ARIAL"/>
                <w:sz w:val="18"/>
              </w:rPr>
              <w:t>(29,418,069)</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926" w:type="dxa"/>
            <w:tcBorders/>
            <w:vAlign w:val="center"/>
          </w:tcPr>
          <w:p>
            <w:pPr>
              <w:pStyle w:val="TableContents"/>
              <w:bidi w:val="0"/>
              <w:spacing w:lineRule="atLeast" w:line="300" w:before="0" w:after="0"/>
              <w:jc w:val="center"/>
              <w:rPr>
                <w:rFonts w:ascii="ARIAL" w:hAnsi="ARIAL"/>
                <w:sz w:val="18"/>
              </w:rPr>
            </w:pPr>
            <w:r>
              <w:rPr>
                <w:rFonts w:ascii="ARIAL" w:hAnsi="ARIAL"/>
                <w:sz w:val="18"/>
              </w:rPr>
              <w:t>(5,367,124)</w:t>
            </w:r>
          </w:p>
        </w:tc>
        <w:tc>
          <w:tcPr>
            <w:tcW w:w="76" w:type="dxa"/>
            <w:tcBorders/>
            <w:vAlign w:val="center"/>
          </w:tcPr>
          <w:p>
            <w:pPr>
              <w:pStyle w:val="TableContents"/>
              <w:bidi w:val="0"/>
              <w:spacing w:lineRule="atLeast" w:line="300" w:before="0" w:after="0"/>
              <w:jc w:val="left"/>
              <w:rPr/>
            </w:pPr>
            <w:r>
              <w:rPr/>
              <w:t> </w:t>
            </w:r>
          </w:p>
        </w:tc>
      </w:tr>
      <w:tr>
        <w:trPr/>
        <w:tc>
          <w:tcPr>
            <w:tcW w:w="135"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677"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rFonts w:ascii="ARIAL" w:hAnsi="ARIAL"/>
                <w:sz w:val="18"/>
              </w:rPr>
            </w:pPr>
            <w:r>
              <w:rPr>
                <w:rFonts w:ascii="ARIAL" w:hAnsi="ARIAL"/>
                <w:sz w:val="18"/>
              </w:rPr>
              <w:t>+ for awards granted and vesting in the same fiscal year, vesting date fair value</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1031" w:type="dxa"/>
            <w:tcBorders/>
            <w:shd w:fill="D5EBF6" w:val="cle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926" w:type="dxa"/>
            <w:tcBorders/>
            <w:shd w:fill="D5EBF6" w:val="cle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6" w:type="dxa"/>
            <w:tcBorders/>
            <w:shd w:fill="D5EBF6" w:val="clear"/>
            <w:vAlign w:val="center"/>
          </w:tcPr>
          <w:p>
            <w:pPr>
              <w:pStyle w:val="TableContents"/>
              <w:bidi w:val="0"/>
              <w:spacing w:lineRule="atLeast" w:line="300" w:before="0" w:after="0"/>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77"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amount equal to the change as of the vesting date (from the end of the prior fiscal year) in fair value of any awards granted in prior fiscal years for which all applicable vesting conditions were met at the end of the covered fiscal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31" w:type="dxa"/>
            <w:tcBorders/>
            <w:vAlign w:val="center"/>
          </w:tcPr>
          <w:p>
            <w:pPr>
              <w:pStyle w:val="TableContents"/>
              <w:bidi w:val="0"/>
              <w:spacing w:lineRule="atLeast" w:line="300" w:before="0" w:after="0"/>
              <w:jc w:val="center"/>
              <w:rPr>
                <w:rFonts w:ascii="ARIAL" w:hAnsi="ARIAL"/>
                <w:sz w:val="18"/>
              </w:rPr>
            </w:pPr>
            <w:r>
              <w:rPr>
                <w:rFonts w:ascii="ARIAL" w:hAnsi="ARIAL"/>
                <w:sz w:val="18"/>
              </w:rPr>
              <w:t>(1,025,173)</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926" w:type="dxa"/>
            <w:tcBorders/>
            <w:vAlign w:val="center"/>
          </w:tcPr>
          <w:p>
            <w:pPr>
              <w:pStyle w:val="TableContents"/>
              <w:bidi w:val="0"/>
              <w:spacing w:lineRule="atLeast" w:line="300" w:before="0" w:after="0"/>
              <w:jc w:val="center"/>
              <w:rPr>
                <w:rFonts w:ascii="ARIAL" w:hAnsi="ARIAL"/>
                <w:sz w:val="18"/>
              </w:rPr>
            </w:pPr>
            <w:r>
              <w:rPr>
                <w:rFonts w:ascii="ARIAL" w:hAnsi="ARIAL"/>
                <w:sz w:val="18"/>
              </w:rPr>
              <w:t>(730,919)</w:t>
            </w:r>
          </w:p>
        </w:tc>
        <w:tc>
          <w:tcPr>
            <w:tcW w:w="76" w:type="dxa"/>
            <w:tcBorders/>
            <w:vAlign w:val="center"/>
          </w:tcPr>
          <w:p>
            <w:pPr>
              <w:pStyle w:val="TableContents"/>
              <w:bidi w:val="0"/>
              <w:spacing w:lineRule="atLeast" w:line="300" w:before="0" w:after="0"/>
              <w:jc w:val="left"/>
              <w:rPr/>
            </w:pPr>
            <w:r>
              <w:rPr/>
              <w:t> </w:t>
            </w:r>
          </w:p>
        </w:tc>
      </w:tr>
      <w:tr>
        <w:trPr/>
        <w:tc>
          <w:tcPr>
            <w:tcW w:w="135"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677" w:type="dxa"/>
            <w:tcBorders/>
            <w:shd w:fill="D5EBF6" w:val="clear"/>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for any awards granted in any prior fiscal year that fail to meet the applicable vesting conditions during the covered fiscal year, amount equal to the fair value at the end of prior fiscal year</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1031" w:type="dxa"/>
            <w:tcBorders/>
            <w:shd w:fill="D5EBF6" w:val="cle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926" w:type="dxa"/>
            <w:tcBorders/>
            <w:shd w:fill="D5EBF6" w:val="cle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6" w:type="dxa"/>
            <w:tcBorders/>
            <w:shd w:fill="D5EBF6" w:val="clear"/>
            <w:vAlign w:val="center"/>
          </w:tcPr>
          <w:p>
            <w:pPr>
              <w:pStyle w:val="TableContents"/>
              <w:bidi w:val="0"/>
              <w:spacing w:lineRule="atLeast" w:line="300" w:before="0" w:after="0"/>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77"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dollar value of dividends or other earnings paid on equity awards in the covered fiscal year prior to the vesting date not otherwise included in total compensation for the covered fiscal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31"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926"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6" w:type="dxa"/>
            <w:tcBorders/>
            <w:vAlign w:val="center"/>
          </w:tcPr>
          <w:p>
            <w:pPr>
              <w:pStyle w:val="TableContents"/>
              <w:bidi w:val="0"/>
              <w:spacing w:lineRule="atLeast" w:line="300" w:before="0" w:after="0"/>
              <w:jc w:val="left"/>
              <w:rPr/>
            </w:pPr>
            <w:r>
              <w:rPr/>
              <w:t> </w:t>
            </w:r>
          </w:p>
        </w:tc>
      </w:tr>
      <w:tr>
        <w:trPr/>
        <w:tc>
          <w:tcPr>
            <w:tcW w:w="135" w:type="dxa"/>
            <w:tcBorders/>
            <w:shd w:fill="D5EBF6" w:val="clear"/>
            <w:vAlign w:val="center"/>
          </w:tcPr>
          <w:p>
            <w:pPr>
              <w:pStyle w:val="TableContents"/>
              <w:bidi w:val="0"/>
              <w:spacing w:before="0" w:after="283"/>
              <w:jc w:val="left"/>
              <w:rPr>
                <w:sz w:val="4"/>
                <w:szCs w:val="4"/>
              </w:rPr>
            </w:pPr>
            <w:r>
              <w:rPr>
                <w:sz w:val="4"/>
                <w:szCs w:val="4"/>
              </w:rPr>
            </w:r>
          </w:p>
        </w:tc>
        <w:tc>
          <w:tcPr>
            <w:tcW w:w="60" w:type="dxa"/>
            <w:tcBorders/>
            <w:shd w:fill="D5EBF6" w:val="clear"/>
            <w:vAlign w:val="center"/>
          </w:tcPr>
          <w:p>
            <w:pPr>
              <w:pStyle w:val="TableContents"/>
              <w:bidi w:val="0"/>
              <w:spacing w:before="0" w:after="283"/>
              <w:jc w:val="left"/>
              <w:rPr/>
            </w:pPr>
            <w:r>
              <w:rPr/>
              <w:t> </w:t>
            </w:r>
          </w:p>
        </w:tc>
        <w:tc>
          <w:tcPr>
            <w:tcW w:w="7677" w:type="dxa"/>
            <w:tcBorders/>
            <w:shd w:fill="D5EBF6" w:val="clear"/>
            <w:vAlign w:val="center"/>
          </w:tcPr>
          <w:p>
            <w:pPr>
              <w:pStyle w:val="TableContents"/>
              <w:bidi w:val="0"/>
              <w:spacing w:before="0" w:after="0"/>
              <w:jc w:val="left"/>
              <w:rPr/>
            </w:pPr>
            <w:r>
              <w:rPr/>
              <w:t> </w:t>
            </w:r>
          </w:p>
          <w:p>
            <w:pPr>
              <w:pStyle w:val="TableContents"/>
              <w:bidi w:val="0"/>
              <w:spacing w:lineRule="atLeast" w:line="300" w:before="0" w:after="20"/>
              <w:jc w:val="left"/>
              <w:rPr>
                <w:rFonts w:ascii="ARIAL" w:hAnsi="ARIAL"/>
                <w:sz w:val="18"/>
              </w:rPr>
            </w:pPr>
            <w:r>
              <w:rPr>
                <w:rFonts w:ascii="ARIAL" w:hAnsi="ARIAL"/>
                <w:sz w:val="18"/>
              </w:rPr>
              <w:t>+ excess fair value for option/SAR award modifications</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1031" w:type="dxa"/>
            <w:tcBorders/>
            <w:shd w:fill="D5EBF6" w:val="cle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shd w:fill="D5EBF6" w:val="clear"/>
            <w:vAlign w:val="center"/>
          </w:tcPr>
          <w:p>
            <w:pPr>
              <w:pStyle w:val="TableContents"/>
              <w:bidi w:val="0"/>
              <w:spacing w:lineRule="atLeast" w:line="300" w:before="0" w:after="0"/>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lineRule="atLeast" w:line="300" w:before="0" w:after="0"/>
              <w:jc w:val="left"/>
              <w:rPr/>
            </w:pPr>
            <w:r>
              <w:rPr/>
              <w:t> </w:t>
            </w:r>
          </w:p>
        </w:tc>
        <w:tc>
          <w:tcPr>
            <w:tcW w:w="926" w:type="dxa"/>
            <w:tcBorders/>
            <w:shd w:fill="D5EBF6" w:val="cle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6" w:type="dxa"/>
            <w:tcBorders/>
            <w:shd w:fill="D5EBF6" w:val="clear"/>
            <w:vAlign w:val="center"/>
          </w:tcPr>
          <w:p>
            <w:pPr>
              <w:pStyle w:val="TableContents"/>
              <w:bidi w:val="0"/>
              <w:spacing w:lineRule="atLeast" w:line="300" w:before="0" w:after="0"/>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77" w:type="dxa"/>
            <w:tcBorders/>
            <w:vAlign w:val="center"/>
          </w:tcPr>
          <w:p>
            <w:pPr>
              <w:pStyle w:val="TableContents"/>
              <w:bidi w:val="0"/>
              <w:spacing w:lineRule="atLeast" w:line="300" w:before="0" w:after="0"/>
              <w:jc w:val="both"/>
              <w:rPr>
                <w:rFonts w:ascii="ARIAL" w:hAnsi="ARIAL"/>
                <w:sz w:val="18"/>
              </w:rPr>
            </w:pPr>
            <w:r>
              <w:rPr>
                <w:rFonts w:ascii="ARIAL" w:hAnsi="ARIAL"/>
                <w:sz w:val="18"/>
              </w:rPr>
              <w:t>Compensation Actually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31" w:type="dxa"/>
            <w:tcBorders/>
            <w:vAlign w:val="center"/>
          </w:tcPr>
          <w:p>
            <w:pPr>
              <w:pStyle w:val="TableContents"/>
              <w:bidi w:val="0"/>
              <w:spacing w:lineRule="atLeast" w:line="300" w:before="0" w:after="0"/>
              <w:jc w:val="center"/>
              <w:rPr>
                <w:rFonts w:ascii="ARIAL" w:hAnsi="ARIAL"/>
                <w:sz w:val="18"/>
              </w:rPr>
            </w:pPr>
            <w:r>
              <w:rPr>
                <w:rFonts w:ascii="ARIAL" w:hAnsi="ARIAL"/>
                <w:sz w:val="18"/>
              </w:rPr>
              <w:t>(21,842,563)</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926" w:type="dxa"/>
            <w:tcBorders/>
            <w:vAlign w:val="center"/>
          </w:tcPr>
          <w:p>
            <w:pPr>
              <w:pStyle w:val="TableContents"/>
              <w:bidi w:val="0"/>
              <w:spacing w:lineRule="atLeast" w:line="300" w:before="0" w:after="0"/>
              <w:jc w:val="center"/>
              <w:rPr>
                <w:rFonts w:ascii="ARIAL" w:hAnsi="ARIAL"/>
                <w:sz w:val="18"/>
              </w:rPr>
            </w:pPr>
            <w:r>
              <w:rPr>
                <w:rFonts w:ascii="ARIAL" w:hAnsi="ARIAL"/>
                <w:sz w:val="18"/>
              </w:rPr>
              <w:t>(3,280,193)</w:t>
            </w:r>
          </w:p>
        </w:tc>
        <w:tc>
          <w:tcPr>
            <w:tcW w:w="76" w:type="dxa"/>
            <w:tcBorders/>
            <w:vAlign w:val="center"/>
          </w:tcPr>
          <w:p>
            <w:pPr>
              <w:pStyle w:val="TableContents"/>
              <w:bidi w:val="0"/>
              <w:spacing w:lineRule="atLeast" w:line="300" w:before="0" w:after="0"/>
              <w:jc w:val="left"/>
              <w:rPr/>
            </w:pPr>
            <w:r>
              <w:rPr/>
              <w:t>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both"/>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For each of 2025, 2024, 2023, 2022 and 2021, total shareholder return for the Company and the peer group was calculated as the yearly percentage change in cumulative total shareholder return based on a deemed fixed investment of $100 at market close on December 31, 2020. The yearly percentage change in cumulative total shareholder return was measured as the quotient of (a) the sum of (i) the cumulative amount of dividends per share for the period from December 31, 2020 through and including the last day of the covered fiscal year (the “</w:t>
            </w:r>
          </w:p>
          <w:p>
            <w:pPr>
              <w:pStyle w:val="TableContents"/>
              <w:bidi w:val="0"/>
              <w:spacing w:before="0" w:after="0"/>
              <w:jc w:val="both"/>
              <w:rPr>
                <w:rFonts w:ascii="ARIAL" w:hAnsi="ARIAL"/>
                <w:b/>
                <w:sz w:val="18"/>
              </w:rPr>
            </w:pPr>
            <w:r>
              <w:rPr>
                <w:rFonts w:ascii="ARIAL" w:hAnsi="ARIAL"/>
                <w:b/>
                <w:sz w:val="18"/>
              </w:rPr>
              <w:t>Measurement Period</w:t>
            </w:r>
          </w:p>
          <w:p>
            <w:pPr>
              <w:pStyle w:val="TableContents"/>
              <w:bidi w:val="0"/>
              <w:spacing w:before="0" w:after="0"/>
              <w:jc w:val="both"/>
              <w:rPr/>
            </w:pPr>
            <w:r>
              <w:rPr/>
              <w:t>”</w:t>
            </w:r>
            <w:r>
              <w:rPr>
                <w:rFonts w:ascii="ARIAL" w:hAnsi="ARIAL"/>
                <w:sz w:val="18"/>
              </w:rPr>
              <w:t>), assuming dividend reinvestment, plus (ii) the difference between stock price per share at the end and the beginning of the Measurement Period, divided by (b) stock price per share at the beginning of the Measurement Period. For purposes of this pay versus performance disclosure, our peer group is the Dow Jones Consumer Goods Index (the “</w:t>
            </w:r>
          </w:p>
          <w:p>
            <w:pPr>
              <w:pStyle w:val="TableContents"/>
              <w:bidi w:val="0"/>
              <w:spacing w:before="0" w:after="0"/>
              <w:jc w:val="both"/>
              <w:rPr>
                <w:rFonts w:ascii="ARIAL" w:hAnsi="ARIAL"/>
                <w:b/>
                <w:sz w:val="18"/>
              </w:rPr>
            </w:pPr>
            <w:r>
              <w:rPr>
                <w:rFonts w:ascii="ARIAL" w:hAnsi="ARIAL"/>
                <w:b/>
                <w:sz w:val="18"/>
              </w:rPr>
              <w:t>Peer Group</w:t>
            </w:r>
          </w:p>
          <w:p>
            <w:pPr>
              <w:pStyle w:val="TableContents"/>
              <w:bidi w:val="0"/>
              <w:spacing w:before="0" w:after="0"/>
              <w:jc w:val="both"/>
              <w:rPr/>
            </w:pPr>
            <w:r>
              <w:rPr/>
              <w:t>”</w:t>
            </w:r>
            <w:r>
              <w:rPr>
                <w:rFonts w:ascii="ARIAL" w:hAnsi="ARIAL"/>
                <w:sz w:val="18"/>
              </w:rPr>
              <w:t xml:space="preserve">). Because fiscal years are presented in the table in reverse chronological order (from top to bottom), the table should be read from bottom to top for purposes of understanding cumulative returns over time.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305"/>
        <w:gridCol w:w="5450"/>
      </w:tblGrid>
      <w:tr>
        <w:trPr/>
        <w:tc>
          <w:tcPr>
            <w:tcW w:w="305" w:type="dxa"/>
            <w:tcBorders/>
            <w:vAlign w:val="center"/>
          </w:tcPr>
          <w:p>
            <w:pPr>
              <w:pStyle w:val="TableContents"/>
              <w:bidi w:val="0"/>
              <w:spacing w:before="0" w:after="283"/>
              <w:jc w:val="left"/>
              <w:rPr/>
            </w:pPr>
            <w:r>
              <w:rPr/>
              <w:t>(4)</w:t>
            </w:r>
          </w:p>
        </w:tc>
        <w:tc>
          <w:tcPr>
            <w:tcW w:w="5450" w:type="dxa"/>
            <w:tcBorders/>
            <w:vAlign w:val="center"/>
          </w:tcPr>
          <w:p>
            <w:pPr>
              <w:pStyle w:val="TableContents"/>
              <w:bidi w:val="0"/>
              <w:spacing w:before="0" w:after="0"/>
              <w:jc w:val="both"/>
              <w:rPr>
                <w:rFonts w:ascii="ARIAL" w:hAnsi="ARIAL"/>
                <w:i/>
                <w:sz w:val="18"/>
                <w:u w:val="single"/>
              </w:rPr>
            </w:pPr>
            <w:r>
              <w:rPr>
                <w:rFonts w:ascii="ARIAL" w:hAnsi="ARIAL"/>
                <w:i/>
                <w:sz w:val="18"/>
                <w:u w:val="single"/>
              </w:rPr>
              <w:t>Net Income.</w:t>
            </w:r>
          </w:p>
          <w:p>
            <w:pPr>
              <w:pStyle w:val="TableContents"/>
              <w:bidi w:val="0"/>
              <w:spacing w:before="0" w:after="0"/>
              <w:jc w:val="both"/>
              <w:rPr>
                <w:rFonts w:ascii="ARIAL" w:hAnsi="ARIAL"/>
                <w:sz w:val="18"/>
              </w:rPr>
            </w:pPr>
            <w:r>
              <w:rPr>
                <w:rFonts w:ascii="ARIAL" w:hAnsi="ARIAL"/>
                <w:sz w:val="18"/>
              </w:rPr>
              <w:t xml:space="preserve">The net income figures reported here represent GAAP net income.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(5)</w:t>
            </w:r>
          </w:p>
        </w:tc>
        <w:tc>
          <w:tcPr>
            <w:tcW w:w="9950" w:type="dxa"/>
            <w:tcBorders/>
            <w:vAlign w:val="center"/>
          </w:tcPr>
          <w:p>
            <w:pPr>
              <w:pStyle w:val="TableContents"/>
              <w:bidi w:val="0"/>
              <w:spacing w:before="0" w:after="0"/>
              <w:jc w:val="both"/>
              <w:rPr>
                <w:rFonts w:ascii="ARIAL" w:hAnsi="ARIAL"/>
                <w:i/>
                <w:sz w:val="18"/>
                <w:u w:val="single"/>
              </w:rPr>
            </w:pPr>
            <w:r>
              <w:rPr>
                <w:rFonts w:ascii="ARIAL" w:hAnsi="ARIAL"/>
                <w:i/>
                <w:sz w:val="18"/>
                <w:u w:val="single"/>
              </w:rPr>
              <w:t>Adjusted Operating Cash Flow.</w:t>
            </w:r>
          </w:p>
          <w:p>
            <w:pPr>
              <w:pStyle w:val="TableContents"/>
              <w:bidi w:val="0"/>
              <w:spacing w:before="0" w:after="0"/>
              <w:jc w:val="both"/>
              <w:rPr>
                <w:rFonts w:ascii="ARIAL" w:hAnsi="ARIAL"/>
                <w:sz w:val="18"/>
              </w:rPr>
            </w:pPr>
            <w:r>
              <w:rPr>
                <w:rFonts w:ascii="ARIAL" w:hAnsi="ARIAL"/>
                <w:sz w:val="18"/>
              </w:rPr>
              <w:t xml:space="preserve">Adjusted operating cash flow is the Company’s publicly reported operating cash flow, excluding the impact of tax payments associated with the sale of a business unit or line of business; expenditures associated with the acquisition, divestiture or integration of business units or lines of business; and other unanticipated extraordinary, </w:t>
            </w:r>
          </w:p>
          <w:p>
            <w:pPr>
              <w:pStyle w:val="TableContents"/>
              <w:bidi w:val="0"/>
              <w:spacing w:before="0" w:after="0"/>
              <w:jc w:val="both"/>
              <w:rPr>
                <w:rFonts w:ascii="ARIAL" w:hAnsi="ARIAL"/>
                <w:sz w:val="18"/>
              </w:rPr>
            </w:pPr>
            <w:r>
              <w:rPr>
                <w:rFonts w:ascii="ARIAL" w:hAnsi="ARIAL"/>
                <w:sz w:val="18"/>
              </w:rPr>
              <w:t>non-budgeted</w:t>
            </w:r>
          </w:p>
          <w:p>
            <w:pPr>
              <w:pStyle w:val="TableContents"/>
              <w:bidi w:val="0"/>
              <w:spacing w:before="0" w:after="0"/>
              <w:jc w:val="both"/>
              <w:rPr>
                <w:rFonts w:ascii="ARIAL" w:hAnsi="ARIAL"/>
                <w:sz w:val="18"/>
              </w:rPr>
            </w:pPr>
            <w:r>
              <w:rPr>
                <w:rFonts w:ascii="ARIAL" w:hAnsi="ARIAL"/>
                <w:sz w:val="18"/>
              </w:rPr>
              <w:t xml:space="preserve">cash expenditures as determined by the Committee which for 2025 included recall costs for certain French Door Countertop Ovens and expenses related to a legal proceeding in U.S. Tax Court. Adjusted operating cash flow also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74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excludes transactional and financing costs and incremental interest payments resulting from refinancing a significant portion of the Company’s long-term debt prior to maturity in 2024 and 2025, includes disposal proceeds for ordinary course and restructuring related asset sales and, in 2025, excludes the unbudgeted net impact of tariff changes. </w:t>
            </w:r>
          </w:p>
        </w:tc>
      </w:tr>
    </w:tbl>
    <w:p>
      <w:pPr>
        <w:pStyle w:val="TextBody"/>
        <w:bidi w:val="0"/>
        <w:spacing w:before="240" w:after="0"/>
        <w:jc w:val="left"/>
        <w:rPr>
          <w:rFonts w:ascii="ARIAL" w:hAnsi="ARIAL"/>
          <w:b/>
          <w:i/>
          <w:color w:val="248EC3"/>
          <w:sz w:val="22"/>
        </w:rPr>
      </w:pPr>
      <w:r>
        <w:rPr>
          <w:rFonts w:ascii="ARIAL" w:hAnsi="ARIAL"/>
          <w:b/>
          <w:i/>
          <w:color w:val="248EC3"/>
          <w:sz w:val="22"/>
        </w:rPr>
        <w:t xml:space="preserve">Pay Versus Performance Relationship Descriptions </w:t>
      </w:r>
    </w:p>
    <w:p>
      <w:pPr>
        <w:pStyle w:val="TextBody"/>
        <w:bidi w:val="0"/>
        <w:spacing w:before="240" w:after="0"/>
        <w:jc w:val="both"/>
        <w:rPr>
          <w:rFonts w:ascii="ARIAL" w:hAnsi="ARIAL"/>
          <w:sz w:val="22"/>
        </w:rPr>
      </w:pPr>
      <w:r>
        <w:rPr>
          <w:rFonts w:ascii="ARIAL" w:hAnsi="ARIAL"/>
          <w:sz w:val="22"/>
        </w:rPr>
        <w:t>The following comparisons provide descriptions of the relationships between certain figures included in the Pay Versus Performance table for each of 2025, 2024, 2023, 2022, and 2021, including: (a) a comparison between our cumulative total shareholder return (“</w:t>
      </w:r>
    </w:p>
    <w:p>
      <w:pPr>
        <w:pStyle w:val="TextBody"/>
        <w:bidi w:val="0"/>
        <w:spacing w:before="240" w:after="0"/>
        <w:jc w:val="both"/>
        <w:rPr>
          <w:rFonts w:ascii="ARIAL" w:hAnsi="ARIAL"/>
          <w:b/>
          <w:sz w:val="22"/>
        </w:rPr>
      </w:pPr>
      <w:r>
        <w:rPr>
          <w:rFonts w:ascii="ARIAL" w:hAnsi="ARIAL"/>
          <w:b/>
          <w:sz w:val="22"/>
        </w:rPr>
        <w:t>TSR</w:t>
      </w:r>
    </w:p>
    <w:p>
      <w:pPr>
        <w:pStyle w:val="TextBody"/>
        <w:bidi w:val="0"/>
        <w:spacing w:before="240" w:after="0"/>
        <w:jc w:val="both"/>
        <w:rPr/>
      </w:pPr>
      <w:r>
        <w:rPr/>
        <w:t>”</w:t>
      </w:r>
      <w:r>
        <w:rPr>
          <w:rFonts w:ascii="ARIAL" w:hAnsi="ARIAL"/>
          <w:sz w:val="22"/>
        </w:rPr>
        <w:t xml:space="preserve">) and the TSR of the Peer Group; and (b) comparisons between (i) the compensation actually paid to PEO 1 and, as applicable, PEO 2 and the average compensation actually paid to our </w:t>
      </w:r>
    </w:p>
    <w:p>
      <w:pPr>
        <w:pStyle w:val="TextBody"/>
        <w:bidi w:val="0"/>
        <w:spacing w:before="240" w:after="0"/>
        <w:jc w:val="both"/>
        <w:rPr>
          <w:rFonts w:ascii="ARIAL" w:hAnsi="ARIAL"/>
          <w:sz w:val="22"/>
        </w:rPr>
      </w:pPr>
      <w:r>
        <w:rPr>
          <w:rFonts w:ascii="ARIAL" w:hAnsi="ARIAL"/>
          <w:sz w:val="22"/>
        </w:rPr>
        <w:t>non-PEO</w:t>
      </w:r>
    </w:p>
    <w:p>
      <w:pPr>
        <w:pStyle w:val="TextBody"/>
        <w:bidi w:val="0"/>
        <w:spacing w:before="240" w:after="0"/>
        <w:jc w:val="both"/>
        <w:rPr>
          <w:rFonts w:ascii="ARIAL" w:hAnsi="ARIAL"/>
          <w:sz w:val="22"/>
        </w:rPr>
      </w:pPr>
      <w:r>
        <w:rPr>
          <w:rFonts w:ascii="ARIAL" w:hAnsi="ARIAL"/>
          <w:sz w:val="22"/>
        </w:rPr>
        <w:t xml:space="preserve">NEOs and (ii) each of the performance measures set forth in columns (f), (h) and (i) of the Pay Versus Performance table.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715250" cy="47720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7715250" cy="47720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75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620000" cy="45910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7620000" cy="4591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343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7810500" cy="434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76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i/>
          <w:color w:val="248EC3"/>
          <w:sz w:val="22"/>
        </w:rPr>
      </w:pPr>
      <w:r>
        <w:rPr>
          <w:rFonts w:ascii="ARIAL" w:hAnsi="ARIAL"/>
          <w:b/>
          <w:i/>
          <w:color w:val="248EC3"/>
          <w:sz w:val="22"/>
        </w:rPr>
        <w:t xml:space="preserve">Tabular List </w:t>
      </w:r>
    </w:p>
    <w:p>
      <w:pPr>
        <w:pStyle w:val="TextBody"/>
        <w:bidi w:val="0"/>
        <w:spacing w:before="240" w:after="0"/>
        <w:jc w:val="both"/>
        <w:rPr>
          <w:rFonts w:ascii="ARIAL" w:hAnsi="ARIAL"/>
          <w:sz w:val="22"/>
        </w:rPr>
      </w:pPr>
      <w:r>
        <w:rPr>
          <w:rFonts w:ascii="ARIAL" w:hAnsi="ARIAL"/>
          <w:sz w:val="22"/>
        </w:rPr>
        <w:t xml:space="preserve">The following table lists the five financial performance measures that we believe represent the most important financial performance measures we use to link compensation actually paid to our NEOs for fiscal 2025 to our performance: </w:t>
      </w:r>
    </w:p>
    <w:p>
      <w:pPr>
        <w:pStyle w:val="TextBody"/>
        <w:bidi w:val="0"/>
        <w:spacing w:before="0" w:after="0"/>
        <w:jc w:val="left"/>
        <w:rPr/>
      </w:pPr>
      <w:r>
        <w:rPr/>
        <w:t> </w:t>
      </w:r>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before="0" w:after="283"/>
              <w:jc w:val="left"/>
              <w:rPr>
                <w:sz w:val="4"/>
                <w:szCs w:val="4"/>
              </w:rPr>
            </w:pPr>
            <w:r>
              <w:rPr>
                <w:sz w:val="4"/>
                <w:szCs w:val="4"/>
              </w:rPr>
            </w:r>
          </w:p>
        </w:tc>
      </w:tr>
      <w:tr>
        <w:trPr/>
        <w:tc>
          <w:tcPr>
            <w:tcW w:w="5045" w:type="dxa"/>
            <w:tcBorders/>
            <w:shd w:fill="248EC3" w:val="clear"/>
            <w:vAlign w:val="center"/>
          </w:tcPr>
          <w:p>
            <w:pPr>
              <w:pStyle w:val="TableContents"/>
              <w:bidi w:val="0"/>
              <w:spacing w:before="0" w:after="283"/>
              <w:jc w:val="left"/>
              <w:rPr>
                <w:sz w:val="4"/>
                <w:szCs w:val="4"/>
              </w:rPr>
            </w:pPr>
            <w:r>
              <w:rPr>
                <w:sz w:val="4"/>
                <w:szCs w:val="4"/>
              </w:rPr>
            </w:r>
          </w:p>
        </w:tc>
      </w:tr>
      <w:tr>
        <w:trPr/>
        <w:tc>
          <w:tcPr>
            <w:tcW w:w="5045" w:type="dxa"/>
            <w:tcBorders/>
            <w:shd w:fill="248EC3"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i/>
                <w:color w:val="FFFFFF"/>
                <w:sz w:val="22"/>
              </w:rPr>
            </w:pPr>
            <w:r>
              <w:rPr>
                <w:rFonts w:ascii="ARIAL" w:hAnsi="ARIAL"/>
                <w:b/>
                <w:i/>
                <w:color w:val="FFFFFF"/>
                <w:sz w:val="22"/>
              </w:rPr>
              <w:t>Tabular List of Financial Performance Measures</w:t>
            </w:r>
          </w:p>
        </w:tc>
      </w:tr>
      <w:tr>
        <w:trPr/>
        <w:tc>
          <w:tcPr>
            <w:tcW w:w="504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04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r>
      <w:tr>
        <w:trPr/>
        <w:tc>
          <w:tcPr>
            <w:tcW w:w="5045" w:type="dxa"/>
            <w:tcBorders/>
            <w:shd w:fill="D5EBF6" w:val="clear"/>
            <w:vAlign w:val="center"/>
          </w:tcPr>
          <w:p>
            <w:pPr>
              <w:pStyle w:val="TableContents"/>
              <w:bidi w:val="0"/>
              <w:spacing w:before="0" w:after="283"/>
              <w:jc w:val="left"/>
              <w:rPr>
                <w:sz w:val="4"/>
                <w:szCs w:val="4"/>
              </w:rPr>
            </w:pPr>
            <w:r>
              <w:rPr>
                <w:sz w:val="4"/>
                <w:szCs w:val="4"/>
              </w:rPr>
            </w:r>
          </w:p>
        </w:tc>
      </w:tr>
      <w:tr>
        <w:trPr/>
        <w:tc>
          <w:tcPr>
            <w:tcW w:w="5045" w:type="dxa"/>
            <w:tcBorders/>
            <w:shd w:fill="D5EBF6" w:val="clear"/>
            <w:vAlign w:val="center"/>
          </w:tcPr>
          <w:p>
            <w:pPr>
              <w:pStyle w:val="TableContents"/>
              <w:bidi w:val="0"/>
              <w:spacing w:before="0" w:after="0"/>
              <w:jc w:val="both"/>
              <w:rPr/>
            </w:pPr>
            <w:r>
              <w:rPr/>
              <w:t>  </w:t>
            </w:r>
          </w:p>
          <w:p>
            <w:pPr>
              <w:pStyle w:val="TableContents"/>
              <w:bidi w:val="0"/>
              <w:spacing w:before="0" w:after="0"/>
              <w:jc w:val="both"/>
              <w:rPr>
                <w:rFonts w:ascii="WINGDINGS" w:hAnsi="WINGDINGS"/>
                <w:sz w:val="22"/>
              </w:rPr>
            </w:pPr>
            <w:r>
              <w:rPr>
                <w:rFonts w:ascii="WINGDINGS" w:hAnsi="WINGDINGS"/>
                <w:sz w:val="22"/>
              </w:rPr>
              <w:t>Ø</w:t>
            </w:r>
          </w:p>
          <w:p>
            <w:pPr>
              <w:pStyle w:val="TableContents"/>
              <w:bidi w:val="0"/>
              <w:spacing w:before="0" w:after="0"/>
              <w:jc w:val="both"/>
              <w:rPr>
                <w:rFonts w:ascii="ARIAL" w:hAnsi="ARIAL"/>
                <w:sz w:val="22"/>
              </w:rPr>
            </w:pPr>
            <w:r>
              <w:rPr>
                <w:rFonts w:ascii="ARIAL" w:hAnsi="ARIAL"/>
                <w:sz w:val="22"/>
              </w:rPr>
              <w:t>Adjusted Operating Cash Flow (See above)</w:t>
            </w:r>
          </w:p>
        </w:tc>
      </w:tr>
      <w:tr>
        <w:trPr/>
        <w:tc>
          <w:tcPr>
            <w:tcW w:w="5045"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0"/>
              <w:jc w:val="both"/>
              <w:rPr/>
            </w:pPr>
            <w:r>
              <w:rPr/>
              <w:t>  </w:t>
            </w:r>
          </w:p>
          <w:p>
            <w:pPr>
              <w:pStyle w:val="TableContents"/>
              <w:bidi w:val="0"/>
              <w:spacing w:before="0" w:after="0"/>
              <w:jc w:val="both"/>
              <w:rPr>
                <w:rFonts w:ascii="WINGDINGS" w:hAnsi="WINGDINGS"/>
                <w:sz w:val="22"/>
              </w:rPr>
            </w:pPr>
            <w:r>
              <w:rPr>
                <w:rFonts w:ascii="WINGDINGS" w:hAnsi="WINGDINGS"/>
                <w:sz w:val="22"/>
              </w:rPr>
              <w:t>Ø</w:t>
            </w:r>
          </w:p>
          <w:p>
            <w:pPr>
              <w:pStyle w:val="TableContents"/>
              <w:bidi w:val="0"/>
              <w:spacing w:before="0" w:after="0"/>
              <w:jc w:val="both"/>
              <w:rPr>
                <w:rFonts w:ascii="ARIAL" w:hAnsi="ARIAL"/>
                <w:sz w:val="22"/>
              </w:rPr>
            </w:pPr>
            <w:r>
              <w:rPr>
                <w:rFonts w:ascii="ARIAL" w:hAnsi="ARIAL"/>
                <w:sz w:val="22"/>
              </w:rPr>
              <w:t>Adjusted EPS (1)</w:t>
            </w:r>
          </w:p>
        </w:tc>
      </w:tr>
      <w:tr>
        <w:trPr/>
        <w:tc>
          <w:tcPr>
            <w:tcW w:w="5045" w:type="dxa"/>
            <w:tcBorders/>
            <w:shd w:fill="D5EBF6" w:val="clear"/>
            <w:vAlign w:val="center"/>
          </w:tcPr>
          <w:p>
            <w:pPr>
              <w:pStyle w:val="TableContents"/>
              <w:bidi w:val="0"/>
              <w:spacing w:before="0" w:after="283"/>
              <w:jc w:val="left"/>
              <w:rPr>
                <w:sz w:val="4"/>
                <w:szCs w:val="4"/>
              </w:rPr>
            </w:pPr>
            <w:r>
              <w:rPr>
                <w:sz w:val="4"/>
                <w:szCs w:val="4"/>
              </w:rPr>
            </w:r>
          </w:p>
        </w:tc>
      </w:tr>
      <w:tr>
        <w:trPr/>
        <w:tc>
          <w:tcPr>
            <w:tcW w:w="5045" w:type="dxa"/>
            <w:tcBorders/>
            <w:shd w:fill="D5EBF6" w:val="clear"/>
            <w:vAlign w:val="center"/>
          </w:tcPr>
          <w:p>
            <w:pPr>
              <w:pStyle w:val="TableContents"/>
              <w:bidi w:val="0"/>
              <w:spacing w:before="0" w:after="0"/>
              <w:jc w:val="both"/>
              <w:rPr/>
            </w:pPr>
            <w:r>
              <w:rPr/>
              <w:t>  </w:t>
            </w:r>
          </w:p>
          <w:p>
            <w:pPr>
              <w:pStyle w:val="TableContents"/>
              <w:bidi w:val="0"/>
              <w:spacing w:before="0" w:after="0"/>
              <w:jc w:val="both"/>
              <w:rPr>
                <w:rFonts w:ascii="WINGDINGS" w:hAnsi="WINGDINGS"/>
                <w:sz w:val="22"/>
              </w:rPr>
            </w:pPr>
            <w:r>
              <w:rPr>
                <w:rFonts w:ascii="WINGDINGS" w:hAnsi="WINGDINGS"/>
                <w:sz w:val="22"/>
              </w:rPr>
              <w:t>Ø</w:t>
            </w:r>
          </w:p>
          <w:p>
            <w:pPr>
              <w:pStyle w:val="TableContents"/>
              <w:bidi w:val="0"/>
              <w:spacing w:before="0" w:after="0"/>
              <w:jc w:val="both"/>
              <w:rPr>
                <w:rFonts w:ascii="ARIAL" w:hAnsi="ARIAL"/>
                <w:sz w:val="22"/>
              </w:rPr>
            </w:pPr>
            <w:r>
              <w:rPr>
                <w:rFonts w:ascii="ARIAL" w:hAnsi="ARIAL"/>
                <w:sz w:val="22"/>
              </w:rPr>
              <w:t>Adjusted Gross Margin (2)</w:t>
            </w:r>
          </w:p>
        </w:tc>
      </w:tr>
      <w:tr>
        <w:trPr/>
        <w:tc>
          <w:tcPr>
            <w:tcW w:w="5045"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0"/>
              <w:jc w:val="both"/>
              <w:rPr/>
            </w:pPr>
            <w:r>
              <w:rPr/>
              <w:t>  </w:t>
            </w:r>
          </w:p>
          <w:p>
            <w:pPr>
              <w:pStyle w:val="TableContents"/>
              <w:bidi w:val="0"/>
              <w:spacing w:before="0" w:after="0"/>
              <w:jc w:val="both"/>
              <w:rPr>
                <w:rFonts w:ascii="WINGDINGS" w:hAnsi="WINGDINGS"/>
                <w:sz w:val="22"/>
              </w:rPr>
            </w:pPr>
            <w:r>
              <w:rPr>
                <w:rFonts w:ascii="WINGDINGS" w:hAnsi="WINGDINGS"/>
                <w:sz w:val="22"/>
              </w:rPr>
              <w:t>Ø</w:t>
            </w:r>
          </w:p>
          <w:p>
            <w:pPr>
              <w:pStyle w:val="TableContents"/>
              <w:bidi w:val="0"/>
              <w:spacing w:before="0" w:after="0"/>
              <w:jc w:val="both"/>
              <w:rPr>
                <w:rFonts w:ascii="ARIAL" w:hAnsi="ARIAL"/>
                <w:sz w:val="22"/>
              </w:rPr>
            </w:pPr>
            <w:r>
              <w:rPr>
                <w:rFonts w:ascii="ARIAL" w:hAnsi="ARIAL"/>
                <w:sz w:val="22"/>
              </w:rPr>
              <w:t>Core Sales (3)</w:t>
            </w:r>
          </w:p>
        </w:tc>
      </w:tr>
      <w:tr>
        <w:trPr/>
        <w:tc>
          <w:tcPr>
            <w:tcW w:w="5045" w:type="dxa"/>
            <w:tcBorders/>
            <w:shd w:fill="D5EBF6" w:val="clear"/>
            <w:vAlign w:val="center"/>
          </w:tcPr>
          <w:p>
            <w:pPr>
              <w:pStyle w:val="TableContents"/>
              <w:bidi w:val="0"/>
              <w:spacing w:before="0" w:after="283"/>
              <w:jc w:val="left"/>
              <w:rPr>
                <w:sz w:val="4"/>
                <w:szCs w:val="4"/>
              </w:rPr>
            </w:pPr>
            <w:r>
              <w:rPr>
                <w:sz w:val="4"/>
                <w:szCs w:val="4"/>
              </w:rPr>
            </w:r>
          </w:p>
        </w:tc>
      </w:tr>
      <w:tr>
        <w:trPr/>
        <w:tc>
          <w:tcPr>
            <w:tcW w:w="5045" w:type="dxa"/>
            <w:tcBorders/>
            <w:shd w:fill="D5EBF6" w:val="clear"/>
            <w:vAlign w:val="center"/>
          </w:tcPr>
          <w:p>
            <w:pPr>
              <w:pStyle w:val="TableContents"/>
              <w:bidi w:val="0"/>
              <w:spacing w:before="0" w:after="0"/>
              <w:jc w:val="both"/>
              <w:rPr/>
            </w:pPr>
            <w:r>
              <w:rPr/>
              <w:t>  </w:t>
            </w:r>
          </w:p>
          <w:p>
            <w:pPr>
              <w:pStyle w:val="TableContents"/>
              <w:bidi w:val="0"/>
              <w:spacing w:before="0" w:after="0"/>
              <w:jc w:val="both"/>
              <w:rPr>
                <w:rFonts w:ascii="WINGDINGS" w:hAnsi="WINGDINGS"/>
                <w:sz w:val="22"/>
              </w:rPr>
            </w:pPr>
            <w:r>
              <w:rPr>
                <w:rFonts w:ascii="WINGDINGS" w:hAnsi="WINGDINGS"/>
                <w:sz w:val="22"/>
              </w:rPr>
              <w:t>Ø</w:t>
            </w:r>
          </w:p>
          <w:p>
            <w:pPr>
              <w:pStyle w:val="TableContents"/>
              <w:bidi w:val="0"/>
              <w:spacing w:before="0" w:after="0"/>
              <w:jc w:val="both"/>
              <w:rPr>
                <w:rFonts w:ascii="ARIAL" w:hAnsi="ARIAL"/>
                <w:sz w:val="22"/>
              </w:rPr>
            </w:pPr>
            <w:r>
              <w:rPr>
                <w:rFonts w:ascii="ARIAL" w:hAnsi="ARIAL"/>
                <w:sz w:val="22"/>
              </w:rPr>
              <w:t>Free Cash Flow Productivity (4)</w:t>
            </w:r>
          </w:p>
        </w:tc>
      </w:tr>
      <w:tr>
        <w:trPr/>
        <w:tc>
          <w:tcPr>
            <w:tcW w:w="504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04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both"/>
              <w:rPr>
                <w:rFonts w:ascii="ARIAL" w:hAnsi="ARIAL"/>
                <w:i/>
                <w:sz w:val="18"/>
                <w:u w:val="single"/>
              </w:rPr>
            </w:pPr>
            <w:r>
              <w:rPr>
                <w:rFonts w:ascii="ARIAL" w:hAnsi="ARIAL"/>
                <w:i/>
                <w:sz w:val="18"/>
                <w:u w:val="single"/>
              </w:rPr>
              <w:t>Adjusted EPS</w:t>
            </w:r>
          </w:p>
          <w:p>
            <w:pPr>
              <w:pStyle w:val="TableContents"/>
              <w:bidi w:val="0"/>
              <w:spacing w:before="0" w:after="0"/>
              <w:jc w:val="both"/>
              <w:rPr>
                <w:rFonts w:ascii="ARIAL" w:hAnsi="ARIAL"/>
                <w:sz w:val="18"/>
                <w:u w:val="single"/>
              </w:rPr>
            </w:pPr>
            <w:r>
              <w:rPr>
                <w:rFonts w:ascii="ARIAL" w:hAnsi="ARIAL"/>
                <w:sz w:val="18"/>
                <w:u w:val="single"/>
              </w:rPr>
              <w:t>.</w:t>
            </w:r>
          </w:p>
          <w:p>
            <w:pPr>
              <w:pStyle w:val="TableContents"/>
              <w:bidi w:val="0"/>
              <w:spacing w:before="0" w:after="0"/>
              <w:jc w:val="both"/>
              <w:rPr>
                <w:rFonts w:ascii="ARIAL" w:hAnsi="ARIAL"/>
                <w:sz w:val="18"/>
              </w:rPr>
            </w:pPr>
            <w:r>
              <w:rPr>
                <w:rFonts w:ascii="ARIAL" w:hAnsi="ARIAL"/>
                <w:sz w:val="18"/>
              </w:rPr>
              <w:t xml:space="preserve">Adjusted EPS is the Company’s reported EPS, excluding the impact of Normalized Adjustments. Adjusted EPS also excludes transactional and financing costs and incremental interest payments resulting from refinancing a significant portion of the Company’s long-term debt prior to maturity in 2024 and 2025 and, in 2025, the unbudgeted net impact of tariff changes.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both"/>
              <w:rPr>
                <w:rFonts w:ascii="ARIAL" w:hAnsi="ARIAL"/>
                <w:i/>
                <w:sz w:val="18"/>
                <w:u w:val="single"/>
              </w:rPr>
            </w:pPr>
            <w:r>
              <w:rPr>
                <w:rFonts w:ascii="ARIAL" w:hAnsi="ARIAL"/>
                <w:i/>
                <w:sz w:val="18"/>
                <w:u w:val="single"/>
              </w:rPr>
              <w:t>Adjusted Gross Margin</w:t>
            </w:r>
          </w:p>
          <w:p>
            <w:pPr>
              <w:pStyle w:val="TableContents"/>
              <w:bidi w:val="0"/>
              <w:spacing w:before="0" w:after="0"/>
              <w:jc w:val="both"/>
              <w:rPr>
                <w:rFonts w:ascii="ARIAL" w:hAnsi="ARIAL"/>
                <w:sz w:val="18"/>
                <w:u w:val="single"/>
              </w:rPr>
            </w:pPr>
            <w:r>
              <w:rPr>
                <w:rFonts w:ascii="ARIAL" w:hAnsi="ARIAL"/>
                <w:sz w:val="18"/>
                <w:u w:val="single"/>
              </w:rPr>
              <w:t>.</w:t>
            </w:r>
          </w:p>
          <w:p>
            <w:pPr>
              <w:pStyle w:val="TableContents"/>
              <w:bidi w:val="0"/>
              <w:spacing w:before="0" w:after="0"/>
              <w:jc w:val="both"/>
              <w:rPr>
                <w:rFonts w:ascii="ARIAL" w:hAnsi="ARIAL"/>
                <w:sz w:val="18"/>
              </w:rPr>
            </w:pPr>
            <w:r>
              <w:rPr>
                <w:rFonts w:ascii="ARIAL" w:hAnsi="ARIAL"/>
                <w:sz w:val="18"/>
              </w:rPr>
              <w:t xml:space="preserve">Adjusted gross margin is the Company’s reported gross margin percentage, excluding the impact of Normalized Adjustments.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both"/>
              <w:rPr>
                <w:rFonts w:ascii="ARIAL" w:hAnsi="ARIAL"/>
                <w:i/>
                <w:sz w:val="18"/>
                <w:u w:val="single"/>
              </w:rPr>
            </w:pPr>
            <w:r>
              <w:rPr>
                <w:rFonts w:ascii="ARIAL" w:hAnsi="ARIAL"/>
                <w:i/>
                <w:sz w:val="18"/>
                <w:u w:val="single"/>
              </w:rPr>
              <w:t>Core Sales</w:t>
            </w:r>
          </w:p>
          <w:p>
            <w:pPr>
              <w:pStyle w:val="TableContents"/>
              <w:bidi w:val="0"/>
              <w:spacing w:before="0" w:after="0"/>
              <w:jc w:val="both"/>
              <w:rPr>
                <w:rFonts w:ascii="ARIAL" w:hAnsi="ARIAL"/>
                <w:sz w:val="18"/>
                <w:u w:val="single"/>
              </w:rPr>
            </w:pPr>
            <w:r>
              <w:rPr>
                <w:rFonts w:ascii="ARIAL" w:hAnsi="ARIAL"/>
                <w:sz w:val="18"/>
                <w:u w:val="single"/>
              </w:rPr>
              <w:t>.</w:t>
            </w:r>
          </w:p>
          <w:p>
            <w:pPr>
              <w:pStyle w:val="TableContents"/>
              <w:bidi w:val="0"/>
              <w:spacing w:before="0" w:after="0"/>
              <w:jc w:val="both"/>
              <w:rPr>
                <w:rFonts w:ascii="ARIAL" w:hAnsi="ARIAL"/>
                <w:sz w:val="18"/>
              </w:rPr>
            </w:pPr>
            <w:r>
              <w:rPr>
                <w:rFonts w:ascii="ARIAL" w:hAnsi="ARIAL"/>
                <w:sz w:val="18"/>
              </w:rPr>
              <w:t xml:space="preserve">Core sales is the Company’s publicly reported core sales. Core sales excludes the impact of acquisitions and divestitures, discontinued operations, retail store openings and closures, certain market/category exits, changes in foreign currency and other items excluded from publicly reported core sales. Core sales for the total Company are translated at the preceding year’s average foreign exchange rates for the applicable month and for segments based on budgeted foreign exchange rates.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0"/>
              <w:jc w:val="both"/>
              <w:rPr>
                <w:rFonts w:ascii="ARIAL" w:hAnsi="ARIAL"/>
                <w:i/>
                <w:sz w:val="18"/>
                <w:u w:val="single"/>
              </w:rPr>
            </w:pPr>
            <w:r>
              <w:rPr>
                <w:rFonts w:ascii="ARIAL" w:hAnsi="ARIAL"/>
                <w:i/>
                <w:sz w:val="18"/>
                <w:u w:val="single"/>
              </w:rPr>
              <w:t>Free Cash Flow Productivity</w:t>
            </w:r>
          </w:p>
          <w:p>
            <w:pPr>
              <w:pStyle w:val="TableContents"/>
              <w:bidi w:val="0"/>
              <w:spacing w:before="0" w:after="0"/>
              <w:jc w:val="both"/>
              <w:rPr>
                <w:rFonts w:ascii="ARIAL" w:hAnsi="ARIAL"/>
                <w:sz w:val="18"/>
                <w:u w:val="single"/>
              </w:rPr>
            </w:pPr>
            <w:r>
              <w:rPr>
                <w:rFonts w:ascii="ARIAL" w:hAnsi="ARIAL"/>
                <w:sz w:val="18"/>
                <w:u w:val="single"/>
              </w:rPr>
              <w:t>.</w:t>
            </w:r>
          </w:p>
          <w:p>
            <w:pPr>
              <w:pStyle w:val="TableContents"/>
              <w:bidi w:val="0"/>
              <w:spacing w:before="0" w:after="0"/>
              <w:jc w:val="both"/>
              <w:rPr/>
            </w:pPr>
            <w:r>
              <w:rPr/>
              <w:t>“</w:t>
            </w:r>
            <w:r>
              <w:rPr>
                <w:rFonts w:ascii="ARIAL" w:hAnsi="ARIAL"/>
                <w:sz w:val="18"/>
              </w:rPr>
              <w:t xml:space="preserve">Free cash flow productivity” is defined as free cash flow divided by adjusted net income for the relevant period, expressed as a percentage. “Free cash flow” is the Company’s reported operating cash flow as determined in accordance with GAAP, less capital expenditures, and “adjusted net income” is the Company’s reported net income as determined in accordance with GAAP, in each case excluding the impact of impairment charges; gains, losses and tax payments associated with the divestiture of a business unit or line of business; and </w:t>
            </w:r>
          </w:p>
          <w:p>
            <w:pPr>
              <w:pStyle w:val="TableContents"/>
              <w:bidi w:val="0"/>
              <w:spacing w:before="0" w:after="0"/>
              <w:jc w:val="both"/>
              <w:rPr>
                <w:rFonts w:ascii="ARIAL" w:hAnsi="ARIAL"/>
                <w:sz w:val="18"/>
              </w:rPr>
            </w:pPr>
            <w:r>
              <w:rPr>
                <w:rFonts w:ascii="ARIAL" w:hAnsi="ARIAL"/>
                <w:sz w:val="18"/>
              </w:rPr>
              <w:t>non-cash</w:t>
            </w:r>
          </w:p>
          <w:p>
            <w:pPr>
              <w:pStyle w:val="TableContents"/>
              <w:bidi w:val="0"/>
              <w:spacing w:before="0" w:after="0"/>
              <w:jc w:val="both"/>
              <w:rPr>
                <w:rFonts w:ascii="ARIAL" w:hAnsi="ARIAL"/>
                <w:sz w:val="18"/>
              </w:rPr>
            </w:pPr>
            <w:r>
              <w:rPr>
                <w:rFonts w:ascii="ARIAL" w:hAnsi="ARIAL"/>
                <w:sz w:val="18"/>
              </w:rPr>
              <w:t xml:space="preserve">discrete tax charges and benefits. Free cash flow and adjusted net income also exclude the impact of other items significantly affecting the calculation of free cash flow productivity that are not indicative of the Company’s core operating results for the relevant period and affect the comparability of underlying results from period to period, as determined by the Committee. </w:t>
            </w:r>
          </w:p>
        </w:tc>
      </w:tr>
    </w:tbl>
    <w:p>
      <w:pPr>
        <w:pStyle w:val="TextBody"/>
        <w:bidi w:val="0"/>
        <w:spacing w:before="0" w:after="0"/>
        <w:jc w:val="left"/>
        <w:rPr/>
      </w:pPr>
      <w:r>
        <w:rPr/>
        <w:t> </w:t>
      </w:r>
    </w:p>
    <w:p>
      <w:pPr>
        <w:pStyle w:val="TextBody"/>
        <w:bidi w:val="0"/>
        <w:jc w:val="center"/>
        <w:rPr>
          <w:rFonts w:ascii="ARIAL" w:hAnsi="ARIAL"/>
          <w:sz w:val="24"/>
        </w:rPr>
      </w:pPr>
      <w:r>
        <w:rPr>
          <w:rFonts w:ascii="ARIAL" w:hAnsi="ARIAL"/>
          <w:sz w:val="24"/>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248EC3"/>
          <w:sz w:val="22"/>
        </w:rPr>
      </w:pPr>
      <w:bookmarkStart w:id="11" w:name="toc52719_9"/>
      <w:bookmarkEnd w:id="11"/>
      <w:r>
        <w:rPr>
          <w:rFonts w:ascii="ARIAL" w:hAnsi="ARIAL"/>
          <w:b/>
          <w:color w:val="248EC3"/>
          <w:sz w:val="22"/>
        </w:rPr>
        <w:t xml:space="preserve">STOCK OWNERSHIP INFORMATION </w:t>
      </w:r>
    </w:p>
    <w:p>
      <w:pPr>
        <w:pStyle w:val="TextBody"/>
        <w:bidi w:val="0"/>
        <w:spacing w:before="240" w:after="0"/>
        <w:jc w:val="left"/>
        <w:rPr>
          <w:rFonts w:ascii="ARIAL" w:hAnsi="ARIAL"/>
          <w:b/>
          <w:color w:val="248EC3"/>
          <w:sz w:val="22"/>
        </w:rPr>
      </w:pPr>
      <w:r>
        <w:rPr>
          <w:rFonts w:ascii="ARIAL" w:hAnsi="ARIAL"/>
          <w:b/>
          <w:color w:val="248EC3"/>
          <w:sz w:val="22"/>
        </w:rPr>
        <w:t xml:space="preserve">CERTAIN BENEFICIAL OWNERS </w:t>
      </w:r>
    </w:p>
    <w:p>
      <w:pPr>
        <w:pStyle w:val="TextBody"/>
        <w:bidi w:val="0"/>
        <w:spacing w:before="240" w:after="0"/>
        <w:jc w:val="both"/>
        <w:rPr>
          <w:rFonts w:ascii="ARIAL" w:hAnsi="ARIAL"/>
          <w:sz w:val="22"/>
        </w:rPr>
      </w:pPr>
      <w:r>
        <w:rPr>
          <w:rFonts w:ascii="ARIAL" w:hAnsi="ARIAL"/>
          <w:sz w:val="22"/>
        </w:rPr>
        <w:t xml:space="preserve">As of March 5, 2026, the only persons or groups that are known to the Company to be beneficial owners of more than 5% of the outstanding common stock are: </w:t>
      </w:r>
    </w:p>
    <w:p>
      <w:pPr>
        <w:pStyle w:val="TextBody"/>
        <w:bidi w:val="0"/>
        <w:spacing w:before="0" w:after="0"/>
        <w:jc w:val="left"/>
        <w:rPr/>
      </w:pPr>
      <w:r>
        <w:rPr/>
        <w:t> </w:t>
      </w:r>
    </w:p>
    <w:tbl>
      <w:tblPr>
        <w:tblW w:w="7820" w:type="dxa"/>
        <w:jc w:val="left"/>
        <w:tblInd w:w="0" w:type="dxa"/>
        <w:tblLayout w:type="fixed"/>
        <w:tblCellMar>
          <w:top w:w="0" w:type="dxa"/>
          <w:left w:w="0" w:type="dxa"/>
          <w:bottom w:w="0" w:type="dxa"/>
          <w:right w:w="0" w:type="dxa"/>
        </w:tblCellMar>
      </w:tblPr>
      <w:tblGrid>
        <w:gridCol w:w="4055"/>
        <w:gridCol w:w="120"/>
        <w:gridCol w:w="97"/>
        <w:gridCol w:w="97"/>
        <w:gridCol w:w="1796"/>
        <w:gridCol w:w="100"/>
        <w:gridCol w:w="120"/>
        <w:gridCol w:w="92"/>
        <w:gridCol w:w="92"/>
        <w:gridCol w:w="976"/>
        <w:gridCol w:w="275"/>
      </w:tblGrid>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055" w:type="dxa"/>
            <w:tcBorders>
              <w:bottom w:val="single" w:sz="6" w:space="0" w:color="000000"/>
            </w:tcBorders>
            <w:tcMar>
              <w:bottom w:w="40" w:type="dxa"/>
            </w:tcMar>
            <w:vAlign w:val="center"/>
          </w:tcPr>
          <w:p>
            <w:pPr>
              <w:pStyle w:val="TableContents"/>
              <w:bidi w:val="0"/>
              <w:spacing w:before="0" w:after="283"/>
              <w:jc w:val="left"/>
              <w:rPr>
                <w:b/>
              </w:rPr>
            </w:pPr>
            <w:r>
              <w:rPr>
                <w:b/>
              </w:rPr>
              <w:t>Name and Address of Beneficial Owner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090" w:type="dxa"/>
            <w:gridSpan w:val="4"/>
            <w:tcBorders>
              <w:bottom w:val="single" w:sz="6" w:space="0" w:color="000000"/>
            </w:tcBorders>
            <w:tcMar>
              <w:bottom w:w="40" w:type="dxa"/>
            </w:tcMar>
            <w:vAlign w:val="center"/>
          </w:tcPr>
          <w:p>
            <w:pPr>
              <w:pStyle w:val="TableContents"/>
              <w:bidi w:val="0"/>
              <w:spacing w:before="0" w:after="283"/>
              <w:jc w:val="center"/>
              <w:rPr>
                <w:b/>
              </w:rPr>
            </w:pPr>
            <w:r>
              <w:rPr>
                <w:b/>
              </w:rPr>
              <w:t>Amount and Nature</w:t>
              <w:br/>
              <w:t>of Beneficial</w:t>
              <w:br/>
              <w:t>Ownership</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5" w:type="dxa"/>
            <w:gridSpan w:val="4"/>
            <w:tcBorders>
              <w:bottom w:val="single" w:sz="6" w:space="0" w:color="000000"/>
            </w:tcBorders>
            <w:tcMar>
              <w:bottom w:w="40" w:type="dxa"/>
            </w:tcMar>
            <w:vAlign w:val="center"/>
          </w:tcPr>
          <w:p>
            <w:pPr>
              <w:pStyle w:val="TableContents"/>
              <w:bidi w:val="0"/>
              <w:spacing w:before="0" w:after="0"/>
              <w:jc w:val="center"/>
              <w:rPr>
                <w:rFonts w:ascii="ARIAL" w:hAnsi="ARIAL"/>
                <w:b/>
                <w:sz w:val="22"/>
              </w:rPr>
            </w:pPr>
            <w:r>
              <w:rPr>
                <w:rFonts w:ascii="ARIAL" w:hAnsi="ARIAL"/>
                <w:b/>
                <w:sz w:val="22"/>
              </w:rPr>
              <w:t>Percent of  </w:t>
            </w:r>
          </w:p>
          <w:p>
            <w:pPr>
              <w:pStyle w:val="TableContents"/>
              <w:bidi w:val="0"/>
              <w:spacing w:before="0" w:after="20"/>
              <w:jc w:val="center"/>
              <w:rPr>
                <w:rFonts w:ascii="ARIAL" w:hAnsi="ARIAL"/>
                <w:b/>
                <w:sz w:val="22"/>
              </w:rPr>
            </w:pPr>
            <w:r>
              <w:rPr>
                <w:rFonts w:ascii="ARIAL" w:hAnsi="ARIAL"/>
                <w:b/>
                <w:sz w:val="22"/>
              </w:rPr>
              <w:t>Class* </w:t>
            </w:r>
          </w:p>
        </w:tc>
      </w:tr>
      <w:tr>
        <w:trPr/>
        <w:tc>
          <w:tcPr>
            <w:tcW w:w="405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796"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76" w:type="dxa"/>
            <w:tcBorders>
              <w:bottom w:val="single" w:sz="6" w:space="0" w:color="000000"/>
            </w:tcBorders>
            <w:tcMar>
              <w:bottom w:w="28" w:type="dxa"/>
            </w:tcMar>
            <w:vAlign w:val="center"/>
          </w:tcPr>
          <w:p>
            <w:pPr>
              <w:pStyle w:val="TableContents"/>
              <w:bidi w:val="0"/>
              <w:spacing w:before="0" w:after="283"/>
              <w:jc w:val="left"/>
              <w:rPr/>
            </w:pPr>
            <w:r>
              <w:rPr/>
              <w:t> </w:t>
            </w:r>
          </w:p>
        </w:tc>
        <w:tc>
          <w:tcPr>
            <w:tcW w:w="2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055" w:type="dxa"/>
            <w:tcBorders/>
            <w:shd w:fill="D5EBF6" w:val="clear"/>
            <w:vAlign w:val="center"/>
          </w:tcPr>
          <w:p>
            <w:pPr>
              <w:pStyle w:val="TableContents"/>
              <w:bidi w:val="0"/>
              <w:spacing w:before="0" w:after="0"/>
              <w:jc w:val="left"/>
              <w:rPr/>
            </w:pPr>
            <w:r>
              <w:rPr/>
              <w:t> </w:t>
            </w:r>
            <w:r>
              <w:rPr>
                <w:rFonts w:ascii="ARIAL" w:hAnsi="ARIAL"/>
                <w:sz w:val="22"/>
              </w:rPr>
              <w:t>BlackRock, Inc.</w:t>
            </w:r>
          </w:p>
          <w:p>
            <w:pPr>
              <w:pStyle w:val="TableContents"/>
              <w:bidi w:val="0"/>
              <w:spacing w:before="0" w:after="0"/>
              <w:jc w:val="left"/>
              <w:rPr/>
            </w:pPr>
            <w:r>
              <w:rPr/>
              <w:t> </w:t>
            </w:r>
            <w:r>
              <w:rPr>
                <w:rFonts w:ascii="ARIAL" w:hAnsi="ARIAL"/>
                <w:sz w:val="22"/>
              </w:rPr>
              <w:t>55 East 52nd Street</w:t>
            </w:r>
          </w:p>
          <w:p>
            <w:pPr>
              <w:pStyle w:val="TableContents"/>
              <w:bidi w:val="0"/>
              <w:spacing w:before="0" w:after="20"/>
              <w:jc w:val="left"/>
              <w:rPr/>
            </w:pPr>
            <w:r>
              <w:rPr/>
              <w:t> </w:t>
            </w:r>
            <w:r>
              <w:rPr>
                <w:rFonts w:ascii="ARIAL" w:hAnsi="ARIAL"/>
                <w:sz w:val="22"/>
              </w:rPr>
              <w:t>New York, NY 10055</w:t>
            </w:r>
          </w:p>
        </w:tc>
        <w:tc>
          <w:tcPr>
            <w:tcW w:w="120" w:type="dxa"/>
            <w:tcBorders/>
            <w:shd w:fill="D5EBF6" w:val="clear"/>
            <w:vAlign w:val="center"/>
          </w:tcPr>
          <w:p>
            <w:pPr>
              <w:pStyle w:val="TableContents"/>
              <w:bidi w:val="0"/>
              <w:spacing w:before="0" w:after="283"/>
              <w:jc w:val="left"/>
              <w:rPr/>
            </w:pPr>
            <w:r>
              <w:rPr/>
              <w:t>  </w:t>
            </w:r>
          </w:p>
        </w:tc>
        <w:tc>
          <w:tcPr>
            <w:tcW w:w="97" w:type="dxa"/>
            <w:tcBorders/>
            <w:shd w:fill="D5EBF6" w:val="clear"/>
            <w:vAlign w:val="center"/>
          </w:tcPr>
          <w:p>
            <w:pPr>
              <w:pStyle w:val="TableContents"/>
              <w:bidi w:val="0"/>
              <w:spacing w:before="0" w:after="283"/>
              <w:jc w:val="left"/>
              <w:rPr/>
            </w:pPr>
            <w:r>
              <w:rPr/>
              <w:t> </w:t>
            </w:r>
          </w:p>
        </w:tc>
        <w:tc>
          <w:tcPr>
            <w:tcW w:w="97" w:type="dxa"/>
            <w:tcBorders/>
            <w:shd w:fill="D5EBF6" w:val="clear"/>
            <w:vAlign w:val="center"/>
          </w:tcPr>
          <w:p>
            <w:pPr>
              <w:pStyle w:val="TableContents"/>
              <w:bidi w:val="0"/>
              <w:spacing w:before="0" w:after="283"/>
              <w:jc w:val="left"/>
              <w:rPr/>
            </w:pPr>
            <w:r>
              <w:rPr/>
              <w:t> </w:t>
            </w:r>
          </w:p>
        </w:tc>
        <w:tc>
          <w:tcPr>
            <w:tcW w:w="1796" w:type="dxa"/>
            <w:tcBorders/>
            <w:shd w:fill="D5EBF6" w:val="clear"/>
            <w:vAlign w:val="center"/>
          </w:tcPr>
          <w:p>
            <w:pPr>
              <w:pStyle w:val="TableContents"/>
              <w:bidi w:val="0"/>
              <w:spacing w:before="0" w:after="283"/>
              <w:jc w:val="right"/>
              <w:rPr/>
            </w:pPr>
            <w:r>
              <w:rPr/>
              <w:t>57,545,258</w:t>
            </w:r>
          </w:p>
        </w:tc>
        <w:tc>
          <w:tcPr>
            <w:tcW w:w="100" w:type="dxa"/>
            <w:tcBorders/>
            <w:shd w:fill="D5EBF6" w:val="clear"/>
            <w:vAlign w:val="center"/>
          </w:tcPr>
          <w:p>
            <w:pPr>
              <w:pStyle w:val="TableContents"/>
              <w:bidi w:val="0"/>
              <w:spacing w:before="0" w:after="283"/>
              <w:jc w:val="left"/>
              <w:rPr>
                <w:sz w:val="4"/>
                <w:szCs w:val="4"/>
              </w:rPr>
            </w:pPr>
            <w:r>
              <w:rPr>
                <w:sz w:val="4"/>
                <w:szCs w:val="4"/>
              </w:rPr>
            </w:r>
          </w:p>
        </w:tc>
        <w:tc>
          <w:tcPr>
            <w:tcW w:w="120"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before="0" w:after="283"/>
              <w:jc w:val="left"/>
              <w:rPr/>
            </w:pPr>
            <w:r>
              <w:rPr/>
              <w:t> </w:t>
            </w:r>
          </w:p>
        </w:tc>
        <w:tc>
          <w:tcPr>
            <w:tcW w:w="92" w:type="dxa"/>
            <w:tcBorders/>
            <w:shd w:fill="D5EBF6" w:val="clear"/>
            <w:vAlign w:val="center"/>
          </w:tcPr>
          <w:p>
            <w:pPr>
              <w:pStyle w:val="TableContents"/>
              <w:bidi w:val="0"/>
              <w:spacing w:before="0" w:after="283"/>
              <w:jc w:val="left"/>
              <w:rPr/>
            </w:pPr>
            <w:r>
              <w:rPr/>
              <w:t> </w:t>
            </w:r>
          </w:p>
        </w:tc>
        <w:tc>
          <w:tcPr>
            <w:tcW w:w="976" w:type="dxa"/>
            <w:tcBorders/>
            <w:shd w:fill="D5EBF6" w:val="clear"/>
            <w:vAlign w:val="center"/>
          </w:tcPr>
          <w:p>
            <w:pPr>
              <w:pStyle w:val="TableContents"/>
              <w:bidi w:val="0"/>
              <w:spacing w:before="0" w:after="283"/>
              <w:jc w:val="right"/>
              <w:rPr/>
            </w:pPr>
            <w:r>
              <w:rPr/>
              <w:t>13.5%(1)</w:t>
            </w:r>
          </w:p>
        </w:tc>
        <w:tc>
          <w:tcPr>
            <w:tcW w:w="275" w:type="dxa"/>
            <w:tcBorders/>
            <w:shd w:fill="D5EBF6"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pPr>
            <w:r>
              <w:rPr/>
              <w:t> </w:t>
            </w:r>
            <w:r>
              <w:rPr>
                <w:rFonts w:ascii="ARIAL" w:hAnsi="ARIAL"/>
                <w:sz w:val="22"/>
              </w:rPr>
              <w:t>Pzena Investment Management, LLC</w:t>
            </w:r>
          </w:p>
          <w:p>
            <w:pPr>
              <w:pStyle w:val="TableContents"/>
              <w:bidi w:val="0"/>
              <w:spacing w:before="0" w:after="0"/>
              <w:jc w:val="left"/>
              <w:rPr/>
            </w:pPr>
            <w:r>
              <w:rPr/>
              <w:t> </w:t>
            </w:r>
            <w:r>
              <w:rPr>
                <w:rFonts w:ascii="ARIAL" w:hAnsi="ARIAL"/>
                <w:sz w:val="22"/>
              </w:rPr>
              <w:t>320 Park Avenue, 8th Floor</w:t>
            </w:r>
          </w:p>
          <w:p>
            <w:pPr>
              <w:pStyle w:val="TableContents"/>
              <w:bidi w:val="0"/>
              <w:spacing w:before="0" w:after="20"/>
              <w:jc w:val="left"/>
              <w:rPr/>
            </w:pPr>
            <w:r>
              <w:rPr/>
              <w:t> </w:t>
            </w:r>
            <w:r>
              <w:rPr>
                <w:rFonts w:ascii="ARIAL" w:hAnsi="ARIAL"/>
                <w:sz w:val="22"/>
              </w:rPr>
              <w:t>New York, NY 10022</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96" w:type="dxa"/>
            <w:tcBorders/>
            <w:vAlign w:val="center"/>
          </w:tcPr>
          <w:p>
            <w:pPr>
              <w:pStyle w:val="TableContents"/>
              <w:bidi w:val="0"/>
              <w:spacing w:before="0" w:after="283"/>
              <w:jc w:val="right"/>
              <w:rPr/>
            </w:pPr>
            <w:r>
              <w:rPr/>
              <w:t>49,432,520</w:t>
            </w:r>
          </w:p>
        </w:tc>
        <w:tc>
          <w:tcPr>
            <w:tcW w:w="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11.6%(2)</w:t>
            </w:r>
          </w:p>
        </w:tc>
        <w:tc>
          <w:tcPr>
            <w:tcW w:w="275" w:type="dxa"/>
            <w:tcBorders/>
            <w:vAlign w:val="center"/>
          </w:tcPr>
          <w:p>
            <w:pPr>
              <w:pStyle w:val="TableContents"/>
              <w:bidi w:val="0"/>
              <w:spacing w:before="0" w:after="283"/>
              <w:jc w:val="left"/>
              <w:rPr>
                <w:sz w:val="4"/>
                <w:szCs w:val="4"/>
              </w:rPr>
            </w:pPr>
            <w:r>
              <w:rPr>
                <w:sz w:val="4"/>
                <w:szCs w:val="4"/>
              </w:rPr>
            </w:r>
          </w:p>
        </w:tc>
      </w:tr>
      <w:tr>
        <w:trPr/>
        <w:tc>
          <w:tcPr>
            <w:tcW w:w="4055" w:type="dxa"/>
            <w:tcBorders>
              <w:bottom w:val="single" w:sz="6" w:space="0" w:color="000000"/>
            </w:tcBorders>
            <w:shd w:fill="D5EBF6" w:val="clear"/>
            <w:tcMar>
              <w:bottom w:w="60" w:type="dxa"/>
            </w:tcMar>
            <w:vAlign w:val="center"/>
          </w:tcPr>
          <w:p>
            <w:pPr>
              <w:pStyle w:val="TableContents"/>
              <w:bidi w:val="0"/>
              <w:spacing w:before="0" w:after="0"/>
              <w:jc w:val="left"/>
              <w:rPr/>
            </w:pPr>
            <w:r>
              <w:rPr/>
              <w:t> </w:t>
            </w:r>
            <w:r>
              <w:rPr>
                <w:rFonts w:ascii="ARIAL" w:hAnsi="ARIAL"/>
                <w:sz w:val="22"/>
              </w:rPr>
              <w:t>The Vanguard Group, Inc.</w:t>
            </w:r>
          </w:p>
          <w:p>
            <w:pPr>
              <w:pStyle w:val="TableContents"/>
              <w:bidi w:val="0"/>
              <w:spacing w:before="0" w:after="0"/>
              <w:jc w:val="left"/>
              <w:rPr/>
            </w:pPr>
            <w:r>
              <w:rPr/>
              <w:t> </w:t>
            </w:r>
            <w:r>
              <w:rPr>
                <w:rFonts w:ascii="ARIAL" w:hAnsi="ARIAL"/>
                <w:sz w:val="22"/>
              </w:rPr>
              <w:t>100 Vanguard Blvd.</w:t>
            </w:r>
          </w:p>
          <w:p>
            <w:pPr>
              <w:pStyle w:val="TableContents"/>
              <w:bidi w:val="0"/>
              <w:spacing w:before="0" w:after="20"/>
              <w:jc w:val="left"/>
              <w:rPr/>
            </w:pPr>
            <w:r>
              <w:rPr/>
              <w:t> </w:t>
            </w:r>
            <w:r>
              <w:rPr>
                <w:rFonts w:ascii="ARIAL" w:hAnsi="ARIAL"/>
                <w:sz w:val="22"/>
              </w:rPr>
              <w:t>Malvern, PA 19355</w:t>
            </w:r>
          </w:p>
        </w:tc>
        <w:tc>
          <w:tcPr>
            <w:tcW w:w="12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shd w:fill="D5EBF6" w:val="clear"/>
            <w:tcMar>
              <w:bottom w:w="60" w:type="dxa"/>
            </w:tcMar>
            <w:vAlign w:val="center"/>
          </w:tcPr>
          <w:p>
            <w:pPr>
              <w:pStyle w:val="TableContents"/>
              <w:bidi w:val="0"/>
              <w:spacing w:before="0" w:after="283"/>
              <w:jc w:val="left"/>
              <w:rPr/>
            </w:pPr>
            <w:r>
              <w:rPr/>
              <w:t> </w:t>
            </w:r>
          </w:p>
        </w:tc>
        <w:tc>
          <w:tcPr>
            <w:tcW w:w="1796" w:type="dxa"/>
            <w:tcBorders>
              <w:bottom w:val="single" w:sz="6" w:space="0" w:color="000000"/>
            </w:tcBorders>
            <w:shd w:fill="D5EBF6" w:val="clear"/>
            <w:tcMar>
              <w:bottom w:w="60" w:type="dxa"/>
            </w:tcMar>
            <w:vAlign w:val="center"/>
          </w:tcPr>
          <w:p>
            <w:pPr>
              <w:pStyle w:val="TableContents"/>
              <w:bidi w:val="0"/>
              <w:spacing w:before="0" w:after="283"/>
              <w:jc w:val="right"/>
              <w:rPr/>
            </w:pPr>
            <w:r>
              <w:rPr/>
              <w:t>44,892,843</w:t>
            </w:r>
          </w:p>
        </w:tc>
        <w:tc>
          <w:tcPr>
            <w:tcW w:w="100" w:type="dxa"/>
            <w:tcBorders>
              <w:bottom w:val="single" w:sz="6" w:space="0" w:color="000000"/>
            </w:tcBorders>
            <w:shd w:fill="D5EBF6"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shd w:fill="D5EBF6" w:val="clear"/>
            <w:tcMar>
              <w:bottom w:w="60" w:type="dxa"/>
            </w:tcMar>
            <w:vAlign w:val="center"/>
          </w:tcPr>
          <w:p>
            <w:pPr>
              <w:pStyle w:val="TableContents"/>
              <w:bidi w:val="0"/>
              <w:spacing w:before="0" w:after="283"/>
              <w:jc w:val="left"/>
              <w:rPr/>
            </w:pPr>
            <w:r>
              <w:rPr/>
              <w:t> </w:t>
            </w:r>
          </w:p>
        </w:tc>
        <w:tc>
          <w:tcPr>
            <w:tcW w:w="976" w:type="dxa"/>
            <w:tcBorders>
              <w:bottom w:val="single" w:sz="6" w:space="0" w:color="000000"/>
            </w:tcBorders>
            <w:shd w:fill="D5EBF6" w:val="clear"/>
            <w:tcMar>
              <w:bottom w:w="60" w:type="dxa"/>
            </w:tcMar>
            <w:vAlign w:val="center"/>
          </w:tcPr>
          <w:p>
            <w:pPr>
              <w:pStyle w:val="TableContents"/>
              <w:bidi w:val="0"/>
              <w:spacing w:before="0" w:after="283"/>
              <w:jc w:val="right"/>
              <w:rPr/>
            </w:pPr>
            <w:r>
              <w:rPr/>
              <w:t>10.6%(3)</w:t>
            </w:r>
          </w:p>
        </w:tc>
        <w:tc>
          <w:tcPr>
            <w:tcW w:w="275" w:type="dxa"/>
            <w:tcBorders>
              <w:bottom w:val="single" w:sz="6" w:space="0" w:color="000000"/>
            </w:tcBorders>
            <w:shd w:fill="D5EBF6" w:val="clear"/>
            <w:tcMar>
              <w:bottom w:w="60" w:type="dxa"/>
            </w:tcMar>
            <w:vAlign w:val="center"/>
          </w:tcPr>
          <w:p>
            <w:pPr>
              <w:pStyle w:val="TableContents"/>
              <w:bidi w:val="0"/>
              <w:spacing w:before="0" w:after="283"/>
              <w:jc w:val="left"/>
              <w:rPr>
                <w:sz w:val="4"/>
                <w:szCs w:val="4"/>
              </w:rPr>
            </w:pPr>
            <w:r>
              <w:rPr>
                <w:sz w:val="4"/>
                <w:szCs w:val="4"/>
              </w:rPr>
            </w:r>
          </w:p>
        </w:tc>
      </w:tr>
      <w:tr>
        <w:trPr/>
        <w:tc>
          <w:tcPr>
            <w:tcW w:w="405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796"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76" w:type="dxa"/>
            <w:tcBorders>
              <w:bottom w:val="single" w:sz="6" w:space="0" w:color="000000"/>
            </w:tcBorders>
            <w:tcMar>
              <w:bottom w:w="28" w:type="dxa"/>
            </w:tcMar>
            <w:vAlign w:val="center"/>
          </w:tcPr>
          <w:p>
            <w:pPr>
              <w:pStyle w:val="TableContents"/>
              <w:bidi w:val="0"/>
              <w:spacing w:before="0" w:after="283"/>
              <w:jc w:val="left"/>
              <w:rPr/>
            </w:pPr>
            <w:r>
              <w:rPr/>
              <w:t> </w:t>
            </w:r>
          </w:p>
        </w:tc>
        <w:tc>
          <w:tcPr>
            <w:tcW w:w="2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 Percent of class is calculated based on 424,927,772 shares outstanding as of March 5,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0"/>
              <w:jc w:val="both"/>
              <w:rPr>
                <w:rFonts w:ascii="ARIAL" w:hAnsi="ARIAL"/>
                <w:sz w:val="18"/>
              </w:rPr>
            </w:pPr>
            <w:r>
              <w:rPr>
                <w:rFonts w:ascii="ARIAL" w:hAnsi="ARIAL"/>
                <w:sz w:val="18"/>
              </w:rPr>
              <w:t xml:space="preserve">As reported in a statement on Schedule 13G/A filed with the SEC on April 29, 2025, by BlackRock, Inc. According to the filing, BlackRock, Inc. has sole voting power over 56,736,270 of such shares and sole dispositive power over all of the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both"/>
              <w:rPr>
                <w:rFonts w:ascii="ARIAL" w:hAnsi="ARIAL"/>
                <w:sz w:val="18"/>
              </w:rPr>
            </w:pPr>
            <w:r>
              <w:rPr>
                <w:rFonts w:ascii="ARIAL" w:hAnsi="ARIAL"/>
                <w:sz w:val="18"/>
              </w:rPr>
              <w:t xml:space="preserve">As reported in a statement on Schedule 13G/A filed with the SEC on January 23, 2025, by Pzena Investment Management, LLC. According to the filing, Pzena Investment Management, LLC, has sole voting power over 41,831,512 of such shares and sole dispositive power over all of the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both"/>
              <w:rPr>
                <w:rFonts w:ascii="ARIAL" w:hAnsi="ARIAL"/>
                <w:sz w:val="18"/>
              </w:rPr>
            </w:pPr>
            <w:r>
              <w:rPr>
                <w:rFonts w:ascii="ARIAL" w:hAnsi="ARIAL"/>
                <w:sz w:val="18"/>
              </w:rPr>
              <w:t xml:space="preserve">As reported in a statement on Schedule 13G/A filed with the SEC on February 13, 2024, by The Vanguard Group, Inc. According to the filing, The Vanguard Group, Inc. has sole voting power over none of the shares, shared voting power over 297,139 of such shares, sole dispositive power over 44,196,596 of such shares and shared dispositive power over 696,247 of such shares.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The following table sets forth information as to the beneficial ownership of shares of common stock of each director, and each named executive officer and all directors and executive officers of the Company, as a group, as of March 5, 2026. Except as otherwise indicated in the footnotes to the table, each individual has sole investment and voting power with respect to the shares of common stock set forth therein. </w:t>
      </w:r>
    </w:p>
    <w:p>
      <w:pPr>
        <w:pStyle w:val="TextBody"/>
        <w:bidi w:val="0"/>
        <w:spacing w:before="0" w:after="0"/>
        <w:jc w:val="left"/>
        <w:rPr/>
      </w:pPr>
      <w:r>
        <w:rPr/>
        <w:t> </w:t>
      </w:r>
    </w:p>
    <w:tbl>
      <w:tblPr>
        <w:tblW w:w="9328" w:type="dxa"/>
        <w:jc w:val="left"/>
        <w:tblInd w:w="0" w:type="dxa"/>
        <w:tblLayout w:type="fixed"/>
        <w:tblCellMar>
          <w:top w:w="0" w:type="dxa"/>
          <w:left w:w="0" w:type="dxa"/>
          <w:bottom w:w="0" w:type="dxa"/>
          <w:right w:w="0" w:type="dxa"/>
        </w:tblCellMar>
      </w:tblPr>
      <w:tblGrid>
        <w:gridCol w:w="5795"/>
        <w:gridCol w:w="120"/>
        <w:gridCol w:w="84"/>
        <w:gridCol w:w="84"/>
        <w:gridCol w:w="1837"/>
        <w:gridCol w:w="85"/>
        <w:gridCol w:w="120"/>
        <w:gridCol w:w="109"/>
        <w:gridCol w:w="109"/>
        <w:gridCol w:w="846"/>
        <w:gridCol w:w="139"/>
      </w:tblGrid>
      <w:tr>
        <w:trPr/>
        <w:tc>
          <w:tcPr>
            <w:tcW w:w="5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5795" w:type="dxa"/>
            <w:tcBorders>
              <w:bottom w:val="single" w:sz="6" w:space="0" w:color="000000"/>
            </w:tcBorders>
            <w:tcMar>
              <w:bottom w:w="40" w:type="dxa"/>
            </w:tcMar>
            <w:vAlign w:val="center"/>
          </w:tcPr>
          <w:p>
            <w:pPr>
              <w:pStyle w:val="TableContents"/>
              <w:bidi w:val="0"/>
              <w:spacing w:before="0" w:after="283"/>
              <w:jc w:val="left"/>
              <w:rPr/>
            </w:pPr>
            <w:r>
              <w:rPr/>
              <w:t> </w:t>
            </w:r>
            <w:r>
              <w:rPr>
                <w:b/>
              </w:rPr>
              <w:t>Name of Beneficial Owner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090" w:type="dxa"/>
            <w:gridSpan w:val="4"/>
            <w:tcBorders>
              <w:bottom w:val="single" w:sz="6" w:space="0" w:color="000000"/>
            </w:tcBorders>
            <w:tcMar>
              <w:bottom w:w="40" w:type="dxa"/>
            </w:tcMar>
            <w:vAlign w:val="center"/>
          </w:tcPr>
          <w:p>
            <w:pPr>
              <w:pStyle w:val="TableContents"/>
              <w:bidi w:val="0"/>
              <w:spacing w:before="0" w:after="283"/>
              <w:jc w:val="center"/>
              <w:rPr>
                <w:b/>
              </w:rPr>
            </w:pPr>
            <w:r>
              <w:rPr>
                <w:b/>
              </w:rPr>
              <w:t>Amount and Nature</w:t>
              <w:br/>
              <w:t>of</w:t>
              <w:br/>
              <w:t>Beneficial</w:t>
              <w:br/>
              <w:t>Ownership</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3" w:type="dxa"/>
            <w:gridSpan w:val="4"/>
            <w:tcBorders>
              <w:bottom w:val="single" w:sz="6" w:space="0" w:color="000000"/>
            </w:tcBorders>
            <w:tcMar>
              <w:bottom w:w="40" w:type="dxa"/>
            </w:tcMar>
            <w:vAlign w:val="center"/>
          </w:tcPr>
          <w:p>
            <w:pPr>
              <w:pStyle w:val="TableContents"/>
              <w:bidi w:val="0"/>
              <w:spacing w:before="0" w:after="283"/>
              <w:jc w:val="center"/>
              <w:rPr/>
            </w:pPr>
            <w:r>
              <w:rPr/>
              <w:t>  </w:t>
            </w:r>
            <w:r>
              <w:rPr>
                <w:b/>
              </w:rPr>
              <w:t>Percent  </w:t>
              <w:br/>
              <w:t>of</w:t>
              <w:br/>
              <w:t>  Class*  </w:t>
            </w:r>
          </w:p>
        </w:tc>
      </w:tr>
      <w:tr>
        <w:trPr/>
        <w:tc>
          <w:tcPr>
            <w:tcW w:w="579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4" w:type="dxa"/>
            <w:tcBorders>
              <w:bottom w:val="single" w:sz="6" w:space="0" w:color="000000"/>
            </w:tcBorders>
            <w:tcMar>
              <w:bottom w:w="28" w:type="dxa"/>
            </w:tcMar>
            <w:vAlign w:val="center"/>
          </w:tcPr>
          <w:p>
            <w:pPr>
              <w:pStyle w:val="TableContents"/>
              <w:bidi w:val="0"/>
              <w:spacing w:before="0" w:after="283"/>
              <w:jc w:val="left"/>
              <w:rPr/>
            </w:pPr>
            <w:r>
              <w:rPr/>
              <w:t> </w:t>
            </w:r>
          </w:p>
        </w:tc>
        <w:tc>
          <w:tcPr>
            <w:tcW w:w="84" w:type="dxa"/>
            <w:tcBorders>
              <w:bottom w:val="single" w:sz="6" w:space="0" w:color="000000"/>
            </w:tcBorders>
            <w:tcMar>
              <w:bottom w:w="28" w:type="dxa"/>
            </w:tcMar>
            <w:vAlign w:val="center"/>
          </w:tcPr>
          <w:p>
            <w:pPr>
              <w:pStyle w:val="TableContents"/>
              <w:bidi w:val="0"/>
              <w:spacing w:before="0" w:after="283"/>
              <w:jc w:val="left"/>
              <w:rPr/>
            </w:pPr>
            <w:r>
              <w:rPr/>
              <w:t> </w:t>
            </w:r>
          </w:p>
        </w:tc>
        <w:tc>
          <w:tcPr>
            <w:tcW w:w="1837"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846" w:type="dxa"/>
            <w:tcBorders>
              <w:bottom w:val="single" w:sz="6" w:space="0" w:color="000000"/>
            </w:tcBorders>
            <w:tcMar>
              <w:bottom w:w="28" w:type="dxa"/>
            </w:tcMar>
            <w:vAlign w:val="center"/>
          </w:tcPr>
          <w:p>
            <w:pPr>
              <w:pStyle w:val="TableContents"/>
              <w:bidi w:val="0"/>
              <w:spacing w:before="0" w:after="283"/>
              <w:jc w:val="left"/>
              <w:rPr/>
            </w:pPr>
            <w:r>
              <w:rPr/>
              <w:t> </w:t>
            </w:r>
          </w:p>
        </w:tc>
        <w:tc>
          <w:tcPr>
            <w:tcW w:w="13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795" w:type="dxa"/>
            <w:tcBorders/>
            <w:shd w:fill="D5EBF6" w:val="clear"/>
            <w:vAlign w:val="center"/>
          </w:tcPr>
          <w:p>
            <w:pPr>
              <w:pStyle w:val="TableContents"/>
              <w:bidi w:val="0"/>
              <w:spacing w:before="0" w:after="283"/>
              <w:jc w:val="left"/>
              <w:rPr>
                <w:sz w:val="4"/>
                <w:szCs w:val="4"/>
              </w:rPr>
            </w:pPr>
            <w:r>
              <w:rPr>
                <w:sz w:val="4"/>
                <w:szCs w:val="4"/>
              </w:rPr>
            </w:r>
          </w:p>
        </w:tc>
        <w:tc>
          <w:tcPr>
            <w:tcW w:w="2210" w:type="dxa"/>
            <w:gridSpan w:val="5"/>
            <w:tcBorders/>
            <w:shd w:fill="D5EBF6" w:val="clear"/>
            <w:vAlign w:val="center"/>
          </w:tcPr>
          <w:p>
            <w:pPr>
              <w:pStyle w:val="TableContents"/>
              <w:bidi w:val="0"/>
              <w:spacing w:before="0" w:after="283"/>
              <w:jc w:val="left"/>
              <w:rPr>
                <w:sz w:val="4"/>
                <w:szCs w:val="4"/>
              </w:rPr>
            </w:pPr>
            <w:r>
              <w:rPr>
                <w:sz w:val="4"/>
                <w:szCs w:val="4"/>
              </w:rPr>
            </w:r>
          </w:p>
        </w:tc>
        <w:tc>
          <w:tcPr>
            <w:tcW w:w="1323" w:type="dxa"/>
            <w:gridSpan w:val="5"/>
            <w:tcBorders/>
            <w:shd w:fill="D5EBF6" w:val="clear"/>
            <w:vAlign w:val="center"/>
          </w:tcPr>
          <w:p>
            <w:pPr>
              <w:pStyle w:val="TableContents"/>
              <w:bidi w:val="0"/>
              <w:spacing w:before="0" w:after="283"/>
              <w:jc w:val="left"/>
              <w:rPr>
                <w:sz w:val="4"/>
                <w:szCs w:val="4"/>
              </w:rPr>
            </w:pPr>
            <w:r>
              <w:rPr>
                <w:sz w:val="4"/>
                <w:szCs w:val="4"/>
              </w:rPr>
            </w:r>
          </w:p>
        </w:tc>
      </w:tr>
      <w:tr>
        <w:trPr/>
        <w:tc>
          <w:tcPr>
            <w:tcW w:w="5795" w:type="dxa"/>
            <w:tcBorders/>
            <w:shd w:fill="D5EBF6" w:val="clear"/>
            <w:vAlign w:val="center"/>
          </w:tcPr>
          <w:p>
            <w:pPr>
              <w:pStyle w:val="TableContents"/>
              <w:bidi w:val="0"/>
              <w:spacing w:before="0" w:after="0"/>
              <w:jc w:val="left"/>
              <w:rPr/>
            </w:pPr>
            <w:r>
              <w:rPr/>
              <w:t> </w:t>
            </w:r>
            <w:r>
              <w:rPr>
                <w:rFonts w:ascii="ARIAL" w:hAnsi="ARIAL"/>
                <w:sz w:val="22"/>
              </w:rPr>
              <w:t>Bridget Ryan Berman</w:t>
            </w:r>
          </w:p>
        </w:tc>
        <w:tc>
          <w:tcPr>
            <w:tcW w:w="120"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1837" w:type="dxa"/>
            <w:tcBorders/>
            <w:shd w:fill="D5EBF6" w:val="clear"/>
            <w:vAlign w:val="center"/>
          </w:tcPr>
          <w:p>
            <w:pPr>
              <w:pStyle w:val="TableContents"/>
              <w:bidi w:val="0"/>
              <w:spacing w:before="0" w:after="283"/>
              <w:jc w:val="center"/>
              <w:rPr/>
            </w:pPr>
            <w:r>
              <w:rPr/>
              <w:t>78,061 (1)(2)</w:t>
            </w:r>
          </w:p>
        </w:tc>
        <w:tc>
          <w:tcPr>
            <w:tcW w:w="85"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846" w:type="dxa"/>
            <w:tcBorders/>
            <w:shd w:fill="D5EBF6" w:val="clear"/>
            <w:vAlign w:val="center"/>
          </w:tcPr>
          <w:p>
            <w:pPr>
              <w:pStyle w:val="TableContents"/>
              <w:bidi w:val="0"/>
              <w:spacing w:before="0" w:after="283"/>
              <w:jc w:val="center"/>
              <w:rPr/>
            </w:pPr>
            <w:r>
              <w:rPr/>
              <w:t>*</w:t>
            </w:r>
          </w:p>
        </w:tc>
        <w:tc>
          <w:tcPr>
            <w:tcW w:w="139" w:type="dxa"/>
            <w:tcBorders/>
            <w:shd w:fill="D5EBF6"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sz w:val="4"/>
                <w:szCs w:val="4"/>
              </w:rPr>
            </w:pPr>
            <w:r>
              <w:rPr>
                <w:sz w:val="4"/>
                <w:szCs w:val="4"/>
              </w:rPr>
            </w:r>
          </w:p>
        </w:tc>
        <w:tc>
          <w:tcPr>
            <w:tcW w:w="2210" w:type="dxa"/>
            <w:gridSpan w:val="5"/>
            <w:tcBorders/>
            <w:vAlign w:val="center"/>
          </w:tcPr>
          <w:p>
            <w:pPr>
              <w:pStyle w:val="TableContents"/>
              <w:bidi w:val="0"/>
              <w:spacing w:before="0" w:after="283"/>
              <w:jc w:val="left"/>
              <w:rPr>
                <w:sz w:val="4"/>
                <w:szCs w:val="4"/>
              </w:rPr>
            </w:pPr>
            <w:r>
              <w:rPr>
                <w:sz w:val="4"/>
                <w:szCs w:val="4"/>
              </w:rPr>
            </w:r>
          </w:p>
        </w:tc>
        <w:tc>
          <w:tcPr>
            <w:tcW w:w="1323" w:type="dxa"/>
            <w:gridSpan w:val="5"/>
            <w:tcBorders/>
            <w:vAlign w:val="center"/>
          </w:tcPr>
          <w:p>
            <w:pPr>
              <w:pStyle w:val="TableContents"/>
              <w:bidi w:val="0"/>
              <w:spacing w:before="0" w:after="283"/>
              <w:jc w:val="left"/>
              <w:rPr>
                <w:sz w:val="4"/>
                <w:szCs w:val="4"/>
              </w:rPr>
            </w:pPr>
            <w:r>
              <w:rPr>
                <w:sz w:val="4"/>
                <w:szCs w:val="4"/>
              </w:rPr>
            </w:r>
          </w:p>
        </w:tc>
      </w:tr>
      <w:tr>
        <w:trPr/>
        <w:tc>
          <w:tcPr>
            <w:tcW w:w="5795" w:type="dxa"/>
            <w:tcBorders/>
            <w:vAlign w:val="center"/>
          </w:tcPr>
          <w:p>
            <w:pPr>
              <w:pStyle w:val="TableContents"/>
              <w:bidi w:val="0"/>
              <w:spacing w:before="0" w:after="0"/>
              <w:jc w:val="left"/>
              <w:rPr/>
            </w:pPr>
            <w:r>
              <w:rPr/>
              <w:t> </w:t>
            </w:r>
            <w:r>
              <w:rPr>
                <w:rFonts w:ascii="ARIAL" w:hAnsi="ARIAL"/>
                <w:sz w:val="22"/>
              </w:rPr>
              <w:t>Patrick D. Campbell</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center"/>
              <w:rPr/>
            </w:pPr>
            <w:r>
              <w:rPr/>
              <w:t>18,477</w:t>
            </w:r>
          </w:p>
        </w:tc>
        <w:tc>
          <w:tcPr>
            <w:tcW w:w="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center"/>
              <w:rPr/>
            </w:pPr>
            <w:r>
              <w:rPr/>
              <w:t>*</w:t>
            </w:r>
          </w:p>
        </w:tc>
        <w:tc>
          <w:tcPr>
            <w:tcW w:w="139" w:type="dxa"/>
            <w:tcBorders/>
            <w:vAlign w:val="center"/>
          </w:tcPr>
          <w:p>
            <w:pPr>
              <w:pStyle w:val="TableContents"/>
              <w:bidi w:val="0"/>
              <w:spacing w:before="0" w:after="283"/>
              <w:jc w:val="left"/>
              <w:rPr/>
            </w:pPr>
            <w:r>
              <w:rPr/>
              <w:t> </w:t>
            </w:r>
          </w:p>
        </w:tc>
      </w:tr>
      <w:tr>
        <w:trPr/>
        <w:tc>
          <w:tcPr>
            <w:tcW w:w="5795" w:type="dxa"/>
            <w:tcBorders/>
            <w:shd w:fill="D5EBF6" w:val="clear"/>
            <w:vAlign w:val="center"/>
          </w:tcPr>
          <w:p>
            <w:pPr>
              <w:pStyle w:val="TableContents"/>
              <w:bidi w:val="0"/>
              <w:spacing w:before="0" w:after="283"/>
              <w:jc w:val="left"/>
              <w:rPr>
                <w:sz w:val="4"/>
                <w:szCs w:val="4"/>
              </w:rPr>
            </w:pPr>
            <w:r>
              <w:rPr>
                <w:sz w:val="4"/>
                <w:szCs w:val="4"/>
              </w:rPr>
            </w:r>
          </w:p>
        </w:tc>
        <w:tc>
          <w:tcPr>
            <w:tcW w:w="2210" w:type="dxa"/>
            <w:gridSpan w:val="5"/>
            <w:tcBorders/>
            <w:shd w:fill="D5EBF6" w:val="clear"/>
            <w:vAlign w:val="center"/>
          </w:tcPr>
          <w:p>
            <w:pPr>
              <w:pStyle w:val="TableContents"/>
              <w:bidi w:val="0"/>
              <w:spacing w:before="0" w:after="283"/>
              <w:jc w:val="left"/>
              <w:rPr>
                <w:sz w:val="4"/>
                <w:szCs w:val="4"/>
              </w:rPr>
            </w:pPr>
            <w:r>
              <w:rPr>
                <w:sz w:val="4"/>
                <w:szCs w:val="4"/>
              </w:rPr>
            </w:r>
          </w:p>
        </w:tc>
        <w:tc>
          <w:tcPr>
            <w:tcW w:w="1323" w:type="dxa"/>
            <w:gridSpan w:val="5"/>
            <w:tcBorders/>
            <w:shd w:fill="D5EBF6" w:val="clear"/>
            <w:vAlign w:val="center"/>
          </w:tcPr>
          <w:p>
            <w:pPr>
              <w:pStyle w:val="TableContents"/>
              <w:bidi w:val="0"/>
              <w:spacing w:before="0" w:after="283"/>
              <w:jc w:val="left"/>
              <w:rPr>
                <w:sz w:val="4"/>
                <w:szCs w:val="4"/>
              </w:rPr>
            </w:pPr>
            <w:r>
              <w:rPr>
                <w:sz w:val="4"/>
                <w:szCs w:val="4"/>
              </w:rPr>
            </w:r>
          </w:p>
        </w:tc>
      </w:tr>
      <w:tr>
        <w:trPr/>
        <w:tc>
          <w:tcPr>
            <w:tcW w:w="5795" w:type="dxa"/>
            <w:tcBorders/>
            <w:shd w:fill="D5EBF6" w:val="clear"/>
            <w:vAlign w:val="center"/>
          </w:tcPr>
          <w:p>
            <w:pPr>
              <w:pStyle w:val="TableContents"/>
              <w:bidi w:val="0"/>
              <w:spacing w:before="0" w:after="0"/>
              <w:jc w:val="left"/>
              <w:rPr/>
            </w:pPr>
            <w:r>
              <w:rPr/>
              <w:t> </w:t>
            </w:r>
            <w:r>
              <w:rPr>
                <w:rFonts w:ascii="ARIAL" w:hAnsi="ARIAL"/>
                <w:sz w:val="22"/>
              </w:rPr>
              <w:t>James P. Keane</w:t>
            </w:r>
          </w:p>
        </w:tc>
        <w:tc>
          <w:tcPr>
            <w:tcW w:w="120"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1837" w:type="dxa"/>
            <w:tcBorders/>
            <w:shd w:fill="D5EBF6" w:val="clear"/>
            <w:vAlign w:val="center"/>
          </w:tcPr>
          <w:p>
            <w:pPr>
              <w:pStyle w:val="TableContents"/>
              <w:bidi w:val="0"/>
              <w:spacing w:before="0" w:after="283"/>
              <w:jc w:val="center"/>
              <w:rPr/>
            </w:pPr>
            <w:r>
              <w:rPr/>
              <w:t>24,274</w:t>
            </w:r>
          </w:p>
        </w:tc>
        <w:tc>
          <w:tcPr>
            <w:tcW w:w="85"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846" w:type="dxa"/>
            <w:tcBorders/>
            <w:shd w:fill="D5EBF6" w:val="clear"/>
            <w:vAlign w:val="center"/>
          </w:tcPr>
          <w:p>
            <w:pPr>
              <w:pStyle w:val="TableContents"/>
              <w:bidi w:val="0"/>
              <w:spacing w:before="0" w:after="283"/>
              <w:jc w:val="center"/>
              <w:rPr/>
            </w:pPr>
            <w:r>
              <w:rPr/>
              <w:t>*</w:t>
            </w:r>
          </w:p>
        </w:tc>
        <w:tc>
          <w:tcPr>
            <w:tcW w:w="139" w:type="dxa"/>
            <w:tcBorders/>
            <w:shd w:fill="D5EBF6"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sz w:val="4"/>
                <w:szCs w:val="4"/>
              </w:rPr>
            </w:pPr>
            <w:r>
              <w:rPr>
                <w:sz w:val="4"/>
                <w:szCs w:val="4"/>
              </w:rPr>
            </w:r>
          </w:p>
        </w:tc>
        <w:tc>
          <w:tcPr>
            <w:tcW w:w="2210" w:type="dxa"/>
            <w:gridSpan w:val="5"/>
            <w:tcBorders/>
            <w:vAlign w:val="center"/>
          </w:tcPr>
          <w:p>
            <w:pPr>
              <w:pStyle w:val="TableContents"/>
              <w:bidi w:val="0"/>
              <w:spacing w:before="0" w:after="283"/>
              <w:jc w:val="left"/>
              <w:rPr>
                <w:sz w:val="4"/>
                <w:szCs w:val="4"/>
              </w:rPr>
            </w:pPr>
            <w:r>
              <w:rPr>
                <w:sz w:val="4"/>
                <w:szCs w:val="4"/>
              </w:rPr>
            </w:r>
          </w:p>
        </w:tc>
        <w:tc>
          <w:tcPr>
            <w:tcW w:w="1323" w:type="dxa"/>
            <w:gridSpan w:val="5"/>
            <w:tcBorders/>
            <w:vAlign w:val="center"/>
          </w:tcPr>
          <w:p>
            <w:pPr>
              <w:pStyle w:val="TableContents"/>
              <w:bidi w:val="0"/>
              <w:spacing w:before="0" w:after="283"/>
              <w:jc w:val="left"/>
              <w:rPr>
                <w:sz w:val="4"/>
                <w:szCs w:val="4"/>
              </w:rPr>
            </w:pPr>
            <w:r>
              <w:rPr>
                <w:sz w:val="4"/>
                <w:szCs w:val="4"/>
              </w:rPr>
            </w:r>
          </w:p>
        </w:tc>
      </w:tr>
      <w:tr>
        <w:trPr/>
        <w:tc>
          <w:tcPr>
            <w:tcW w:w="5795" w:type="dxa"/>
            <w:tcBorders/>
            <w:vAlign w:val="center"/>
          </w:tcPr>
          <w:p>
            <w:pPr>
              <w:pStyle w:val="TableContents"/>
              <w:bidi w:val="0"/>
              <w:spacing w:before="0" w:after="0"/>
              <w:jc w:val="left"/>
              <w:rPr/>
            </w:pPr>
            <w:r>
              <w:rPr/>
              <w:t> </w:t>
            </w:r>
            <w:r>
              <w:rPr>
                <w:rFonts w:ascii="ARIAL" w:hAnsi="ARIAL"/>
                <w:sz w:val="22"/>
              </w:rPr>
              <w:t>Gerardo I. Lopez</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center"/>
              <w:rPr/>
            </w:pPr>
            <w:r>
              <w:rPr/>
              <w:t>99,352 (3)</w:t>
            </w:r>
          </w:p>
        </w:tc>
        <w:tc>
          <w:tcPr>
            <w:tcW w:w="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center"/>
              <w:rPr/>
            </w:pPr>
            <w:r>
              <w:rPr/>
              <w:t>*</w:t>
            </w:r>
          </w:p>
        </w:tc>
        <w:tc>
          <w:tcPr>
            <w:tcW w:w="139" w:type="dxa"/>
            <w:tcBorders/>
            <w:vAlign w:val="center"/>
          </w:tcPr>
          <w:p>
            <w:pPr>
              <w:pStyle w:val="TableContents"/>
              <w:bidi w:val="0"/>
              <w:spacing w:before="0" w:after="283"/>
              <w:jc w:val="left"/>
              <w:rPr/>
            </w:pPr>
            <w:r>
              <w:rPr/>
              <w:t> </w:t>
            </w:r>
          </w:p>
        </w:tc>
      </w:tr>
      <w:tr>
        <w:trPr/>
        <w:tc>
          <w:tcPr>
            <w:tcW w:w="5795" w:type="dxa"/>
            <w:tcBorders/>
            <w:shd w:fill="D5EBF6" w:val="clear"/>
            <w:vAlign w:val="center"/>
          </w:tcPr>
          <w:p>
            <w:pPr>
              <w:pStyle w:val="TableContents"/>
              <w:bidi w:val="0"/>
              <w:spacing w:before="0" w:after="283"/>
              <w:jc w:val="left"/>
              <w:rPr>
                <w:sz w:val="4"/>
                <w:szCs w:val="4"/>
              </w:rPr>
            </w:pPr>
            <w:r>
              <w:rPr>
                <w:sz w:val="4"/>
                <w:szCs w:val="4"/>
              </w:rPr>
            </w:r>
          </w:p>
        </w:tc>
        <w:tc>
          <w:tcPr>
            <w:tcW w:w="2210" w:type="dxa"/>
            <w:gridSpan w:val="5"/>
            <w:tcBorders/>
            <w:shd w:fill="D5EBF6" w:val="clear"/>
            <w:vAlign w:val="center"/>
          </w:tcPr>
          <w:p>
            <w:pPr>
              <w:pStyle w:val="TableContents"/>
              <w:bidi w:val="0"/>
              <w:spacing w:before="0" w:after="283"/>
              <w:jc w:val="left"/>
              <w:rPr>
                <w:sz w:val="4"/>
                <w:szCs w:val="4"/>
              </w:rPr>
            </w:pPr>
            <w:r>
              <w:rPr>
                <w:sz w:val="4"/>
                <w:szCs w:val="4"/>
              </w:rPr>
            </w:r>
          </w:p>
        </w:tc>
        <w:tc>
          <w:tcPr>
            <w:tcW w:w="1323" w:type="dxa"/>
            <w:gridSpan w:val="5"/>
            <w:tcBorders/>
            <w:shd w:fill="D5EBF6" w:val="clear"/>
            <w:vAlign w:val="center"/>
          </w:tcPr>
          <w:p>
            <w:pPr>
              <w:pStyle w:val="TableContents"/>
              <w:bidi w:val="0"/>
              <w:spacing w:before="0" w:after="283"/>
              <w:jc w:val="left"/>
              <w:rPr>
                <w:sz w:val="4"/>
                <w:szCs w:val="4"/>
              </w:rPr>
            </w:pPr>
            <w:r>
              <w:rPr>
                <w:sz w:val="4"/>
                <w:szCs w:val="4"/>
              </w:rPr>
            </w:r>
          </w:p>
        </w:tc>
      </w:tr>
      <w:tr>
        <w:trPr/>
        <w:tc>
          <w:tcPr>
            <w:tcW w:w="5795" w:type="dxa"/>
            <w:tcBorders/>
            <w:shd w:fill="D5EBF6" w:val="clear"/>
            <w:vAlign w:val="center"/>
          </w:tcPr>
          <w:p>
            <w:pPr>
              <w:pStyle w:val="TableContents"/>
              <w:bidi w:val="0"/>
              <w:spacing w:before="0" w:after="0"/>
              <w:jc w:val="left"/>
              <w:rPr/>
            </w:pPr>
            <w:r>
              <w:rPr/>
              <w:t> </w:t>
            </w:r>
            <w:r>
              <w:rPr>
                <w:rFonts w:ascii="ARIAL" w:hAnsi="ARIAL"/>
                <w:sz w:val="22"/>
              </w:rPr>
              <w:t>Gary H. Pilnick</w:t>
            </w:r>
          </w:p>
        </w:tc>
        <w:tc>
          <w:tcPr>
            <w:tcW w:w="120"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1837" w:type="dxa"/>
            <w:tcBorders/>
            <w:shd w:fill="D5EBF6" w:val="clear"/>
            <w:vAlign w:val="center"/>
          </w:tcPr>
          <w:p>
            <w:pPr>
              <w:pStyle w:val="TableContents"/>
              <w:bidi w:val="0"/>
              <w:spacing w:before="0" w:after="283"/>
              <w:jc w:val="center"/>
              <w:rPr/>
            </w:pPr>
            <w:r>
              <w:rPr/>
              <w:t>-</w:t>
            </w:r>
          </w:p>
        </w:tc>
        <w:tc>
          <w:tcPr>
            <w:tcW w:w="85"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846" w:type="dxa"/>
            <w:tcBorders/>
            <w:shd w:fill="D5EBF6" w:val="clear"/>
            <w:vAlign w:val="center"/>
          </w:tcPr>
          <w:p>
            <w:pPr>
              <w:pStyle w:val="TableContents"/>
              <w:bidi w:val="0"/>
              <w:spacing w:before="0" w:after="283"/>
              <w:jc w:val="center"/>
              <w:rPr/>
            </w:pPr>
            <w:r>
              <w:rPr/>
              <w:t>*</w:t>
            </w:r>
          </w:p>
        </w:tc>
        <w:tc>
          <w:tcPr>
            <w:tcW w:w="139" w:type="dxa"/>
            <w:tcBorders/>
            <w:shd w:fill="D5EBF6"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sz w:val="4"/>
                <w:szCs w:val="4"/>
              </w:rPr>
            </w:pPr>
            <w:r>
              <w:rPr>
                <w:sz w:val="4"/>
                <w:szCs w:val="4"/>
              </w:rPr>
            </w:r>
          </w:p>
        </w:tc>
        <w:tc>
          <w:tcPr>
            <w:tcW w:w="2210" w:type="dxa"/>
            <w:gridSpan w:val="5"/>
            <w:tcBorders/>
            <w:vAlign w:val="center"/>
          </w:tcPr>
          <w:p>
            <w:pPr>
              <w:pStyle w:val="TableContents"/>
              <w:bidi w:val="0"/>
              <w:spacing w:before="0" w:after="283"/>
              <w:jc w:val="left"/>
              <w:rPr>
                <w:sz w:val="4"/>
                <w:szCs w:val="4"/>
              </w:rPr>
            </w:pPr>
            <w:r>
              <w:rPr>
                <w:sz w:val="4"/>
                <w:szCs w:val="4"/>
              </w:rPr>
            </w:r>
          </w:p>
        </w:tc>
        <w:tc>
          <w:tcPr>
            <w:tcW w:w="1323" w:type="dxa"/>
            <w:gridSpan w:val="5"/>
            <w:tcBorders/>
            <w:vAlign w:val="center"/>
          </w:tcPr>
          <w:p>
            <w:pPr>
              <w:pStyle w:val="TableContents"/>
              <w:bidi w:val="0"/>
              <w:spacing w:before="0" w:after="283"/>
              <w:jc w:val="left"/>
              <w:rPr>
                <w:sz w:val="4"/>
                <w:szCs w:val="4"/>
              </w:rPr>
            </w:pPr>
            <w:r>
              <w:rPr>
                <w:sz w:val="4"/>
                <w:szCs w:val="4"/>
              </w:rPr>
            </w:r>
          </w:p>
        </w:tc>
      </w:tr>
      <w:tr>
        <w:trPr/>
        <w:tc>
          <w:tcPr>
            <w:tcW w:w="5795" w:type="dxa"/>
            <w:tcBorders/>
            <w:vAlign w:val="center"/>
          </w:tcPr>
          <w:p>
            <w:pPr>
              <w:pStyle w:val="TableContents"/>
              <w:bidi w:val="0"/>
              <w:spacing w:before="0" w:after="0"/>
              <w:jc w:val="left"/>
              <w:rPr/>
            </w:pPr>
            <w:r>
              <w:rPr/>
              <w:t> </w:t>
            </w:r>
            <w:r>
              <w:rPr>
                <w:rFonts w:ascii="ARIAL" w:hAnsi="ARIAL"/>
                <w:sz w:val="22"/>
              </w:rPr>
              <w:t>Judith A. Sprieser</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center"/>
              <w:rPr/>
            </w:pPr>
            <w:r>
              <w:rPr/>
              <w:t>49,975</w:t>
            </w:r>
          </w:p>
        </w:tc>
        <w:tc>
          <w:tcPr>
            <w:tcW w:w="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center"/>
              <w:rPr/>
            </w:pPr>
            <w:r>
              <w:rPr/>
              <w:t>*</w:t>
            </w:r>
          </w:p>
        </w:tc>
        <w:tc>
          <w:tcPr>
            <w:tcW w:w="139" w:type="dxa"/>
            <w:tcBorders/>
            <w:vAlign w:val="center"/>
          </w:tcPr>
          <w:p>
            <w:pPr>
              <w:pStyle w:val="TableContents"/>
              <w:bidi w:val="0"/>
              <w:spacing w:before="0" w:after="283"/>
              <w:jc w:val="left"/>
              <w:rPr/>
            </w:pPr>
            <w:r>
              <w:rPr/>
              <w:t> </w:t>
            </w:r>
          </w:p>
        </w:tc>
      </w:tr>
      <w:tr>
        <w:trPr/>
        <w:tc>
          <w:tcPr>
            <w:tcW w:w="5795" w:type="dxa"/>
            <w:tcBorders/>
            <w:shd w:fill="D5EBF6" w:val="clear"/>
            <w:vAlign w:val="center"/>
          </w:tcPr>
          <w:p>
            <w:pPr>
              <w:pStyle w:val="TableContents"/>
              <w:bidi w:val="0"/>
              <w:spacing w:before="0" w:after="283"/>
              <w:jc w:val="left"/>
              <w:rPr>
                <w:sz w:val="4"/>
                <w:szCs w:val="4"/>
              </w:rPr>
            </w:pPr>
            <w:r>
              <w:rPr>
                <w:sz w:val="4"/>
                <w:szCs w:val="4"/>
              </w:rPr>
            </w:r>
          </w:p>
        </w:tc>
        <w:tc>
          <w:tcPr>
            <w:tcW w:w="2210" w:type="dxa"/>
            <w:gridSpan w:val="5"/>
            <w:tcBorders/>
            <w:shd w:fill="D5EBF6" w:val="clear"/>
            <w:vAlign w:val="center"/>
          </w:tcPr>
          <w:p>
            <w:pPr>
              <w:pStyle w:val="TableContents"/>
              <w:bidi w:val="0"/>
              <w:spacing w:before="0" w:after="283"/>
              <w:jc w:val="left"/>
              <w:rPr>
                <w:sz w:val="4"/>
                <w:szCs w:val="4"/>
              </w:rPr>
            </w:pPr>
            <w:r>
              <w:rPr>
                <w:sz w:val="4"/>
                <w:szCs w:val="4"/>
              </w:rPr>
            </w:r>
          </w:p>
        </w:tc>
        <w:tc>
          <w:tcPr>
            <w:tcW w:w="1323" w:type="dxa"/>
            <w:gridSpan w:val="5"/>
            <w:tcBorders/>
            <w:shd w:fill="D5EBF6" w:val="clear"/>
            <w:vAlign w:val="center"/>
          </w:tcPr>
          <w:p>
            <w:pPr>
              <w:pStyle w:val="TableContents"/>
              <w:bidi w:val="0"/>
              <w:spacing w:before="0" w:after="283"/>
              <w:jc w:val="left"/>
              <w:rPr>
                <w:sz w:val="4"/>
                <w:szCs w:val="4"/>
              </w:rPr>
            </w:pPr>
            <w:r>
              <w:rPr>
                <w:sz w:val="4"/>
                <w:szCs w:val="4"/>
              </w:rPr>
            </w:r>
          </w:p>
        </w:tc>
      </w:tr>
      <w:tr>
        <w:trPr/>
        <w:tc>
          <w:tcPr>
            <w:tcW w:w="5795" w:type="dxa"/>
            <w:tcBorders/>
            <w:shd w:fill="D5EBF6" w:val="clear"/>
            <w:vAlign w:val="center"/>
          </w:tcPr>
          <w:p>
            <w:pPr>
              <w:pStyle w:val="TableContents"/>
              <w:bidi w:val="0"/>
              <w:spacing w:before="0" w:after="0"/>
              <w:jc w:val="left"/>
              <w:rPr/>
            </w:pPr>
            <w:r>
              <w:rPr/>
              <w:t> </w:t>
            </w:r>
            <w:r>
              <w:rPr>
                <w:rFonts w:ascii="ARIAL" w:hAnsi="ARIAL"/>
                <w:sz w:val="22"/>
              </w:rPr>
              <w:t>Stephanie P. Stahl</w:t>
            </w:r>
          </w:p>
        </w:tc>
        <w:tc>
          <w:tcPr>
            <w:tcW w:w="120"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1837" w:type="dxa"/>
            <w:tcBorders/>
            <w:shd w:fill="D5EBF6" w:val="clear"/>
            <w:vAlign w:val="center"/>
          </w:tcPr>
          <w:p>
            <w:pPr>
              <w:pStyle w:val="TableContents"/>
              <w:bidi w:val="0"/>
              <w:spacing w:before="0" w:after="283"/>
              <w:jc w:val="center"/>
              <w:rPr/>
            </w:pPr>
            <w:r>
              <w:rPr/>
              <w:t>22,474</w:t>
            </w:r>
          </w:p>
        </w:tc>
        <w:tc>
          <w:tcPr>
            <w:tcW w:w="85"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846" w:type="dxa"/>
            <w:tcBorders/>
            <w:shd w:fill="D5EBF6" w:val="clear"/>
            <w:vAlign w:val="center"/>
          </w:tcPr>
          <w:p>
            <w:pPr>
              <w:pStyle w:val="TableContents"/>
              <w:bidi w:val="0"/>
              <w:spacing w:before="0" w:after="283"/>
              <w:jc w:val="center"/>
              <w:rPr/>
            </w:pPr>
            <w:r>
              <w:rPr/>
              <w:t>*</w:t>
            </w:r>
          </w:p>
        </w:tc>
        <w:tc>
          <w:tcPr>
            <w:tcW w:w="139" w:type="dxa"/>
            <w:tcBorders/>
            <w:shd w:fill="D5EBF6"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sz w:val="4"/>
                <w:szCs w:val="4"/>
              </w:rPr>
            </w:pPr>
            <w:r>
              <w:rPr>
                <w:sz w:val="4"/>
                <w:szCs w:val="4"/>
              </w:rPr>
            </w:r>
          </w:p>
        </w:tc>
        <w:tc>
          <w:tcPr>
            <w:tcW w:w="2210" w:type="dxa"/>
            <w:gridSpan w:val="5"/>
            <w:tcBorders/>
            <w:vAlign w:val="center"/>
          </w:tcPr>
          <w:p>
            <w:pPr>
              <w:pStyle w:val="TableContents"/>
              <w:bidi w:val="0"/>
              <w:spacing w:before="0" w:after="283"/>
              <w:jc w:val="left"/>
              <w:rPr>
                <w:sz w:val="4"/>
                <w:szCs w:val="4"/>
              </w:rPr>
            </w:pPr>
            <w:r>
              <w:rPr>
                <w:sz w:val="4"/>
                <w:szCs w:val="4"/>
              </w:rPr>
            </w:r>
          </w:p>
        </w:tc>
        <w:tc>
          <w:tcPr>
            <w:tcW w:w="1323" w:type="dxa"/>
            <w:gridSpan w:val="5"/>
            <w:tcBorders/>
            <w:vAlign w:val="center"/>
          </w:tcPr>
          <w:p>
            <w:pPr>
              <w:pStyle w:val="TableContents"/>
              <w:bidi w:val="0"/>
              <w:spacing w:before="0" w:after="283"/>
              <w:jc w:val="left"/>
              <w:rPr>
                <w:sz w:val="4"/>
                <w:szCs w:val="4"/>
              </w:rPr>
            </w:pPr>
            <w:r>
              <w:rPr>
                <w:sz w:val="4"/>
                <w:szCs w:val="4"/>
              </w:rPr>
            </w:r>
          </w:p>
        </w:tc>
      </w:tr>
      <w:tr>
        <w:trPr/>
        <w:tc>
          <w:tcPr>
            <w:tcW w:w="5795" w:type="dxa"/>
            <w:tcBorders/>
            <w:vAlign w:val="center"/>
          </w:tcPr>
          <w:p>
            <w:pPr>
              <w:pStyle w:val="TableContents"/>
              <w:bidi w:val="0"/>
              <w:spacing w:before="0" w:after="0"/>
              <w:jc w:val="left"/>
              <w:rPr/>
            </w:pPr>
            <w:r>
              <w:rPr/>
              <w:t> </w:t>
            </w:r>
            <w:r>
              <w:rPr>
                <w:rFonts w:ascii="ARIAL" w:hAnsi="ARIAL"/>
                <w:sz w:val="22"/>
              </w:rPr>
              <w:t>Anthony Terry</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center"/>
              <w:rPr/>
            </w:pPr>
            <w:r>
              <w:rPr/>
              <w:t>26,290</w:t>
            </w:r>
          </w:p>
        </w:tc>
        <w:tc>
          <w:tcPr>
            <w:tcW w:w="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center"/>
              <w:rPr/>
            </w:pPr>
            <w:r>
              <w:rPr/>
              <w:t>*</w:t>
            </w:r>
          </w:p>
        </w:tc>
        <w:tc>
          <w:tcPr>
            <w:tcW w:w="139" w:type="dxa"/>
            <w:tcBorders/>
            <w:vAlign w:val="center"/>
          </w:tcPr>
          <w:p>
            <w:pPr>
              <w:pStyle w:val="TableContents"/>
              <w:bidi w:val="0"/>
              <w:spacing w:before="0" w:after="283"/>
              <w:jc w:val="left"/>
              <w:rPr/>
            </w:pPr>
            <w:r>
              <w:rPr/>
              <w:t> </w:t>
            </w:r>
          </w:p>
        </w:tc>
      </w:tr>
      <w:tr>
        <w:trPr/>
        <w:tc>
          <w:tcPr>
            <w:tcW w:w="5795" w:type="dxa"/>
            <w:tcBorders/>
            <w:shd w:fill="D5EBF6" w:val="clear"/>
            <w:vAlign w:val="center"/>
          </w:tcPr>
          <w:p>
            <w:pPr>
              <w:pStyle w:val="TableContents"/>
              <w:bidi w:val="0"/>
              <w:spacing w:before="0" w:after="283"/>
              <w:jc w:val="left"/>
              <w:rPr>
                <w:sz w:val="4"/>
                <w:szCs w:val="4"/>
              </w:rPr>
            </w:pPr>
            <w:r>
              <w:rPr>
                <w:sz w:val="4"/>
                <w:szCs w:val="4"/>
              </w:rPr>
            </w:r>
          </w:p>
        </w:tc>
        <w:tc>
          <w:tcPr>
            <w:tcW w:w="2210" w:type="dxa"/>
            <w:gridSpan w:val="5"/>
            <w:tcBorders/>
            <w:shd w:fill="D5EBF6" w:val="clear"/>
            <w:vAlign w:val="center"/>
          </w:tcPr>
          <w:p>
            <w:pPr>
              <w:pStyle w:val="TableContents"/>
              <w:bidi w:val="0"/>
              <w:spacing w:before="0" w:after="283"/>
              <w:jc w:val="left"/>
              <w:rPr>
                <w:sz w:val="4"/>
                <w:szCs w:val="4"/>
              </w:rPr>
            </w:pPr>
            <w:r>
              <w:rPr>
                <w:sz w:val="4"/>
                <w:szCs w:val="4"/>
              </w:rPr>
            </w:r>
          </w:p>
        </w:tc>
        <w:tc>
          <w:tcPr>
            <w:tcW w:w="1323" w:type="dxa"/>
            <w:gridSpan w:val="5"/>
            <w:tcBorders/>
            <w:shd w:fill="D5EBF6" w:val="clear"/>
            <w:vAlign w:val="center"/>
          </w:tcPr>
          <w:p>
            <w:pPr>
              <w:pStyle w:val="TableContents"/>
              <w:bidi w:val="0"/>
              <w:spacing w:before="0" w:after="283"/>
              <w:jc w:val="left"/>
              <w:rPr>
                <w:sz w:val="4"/>
                <w:szCs w:val="4"/>
              </w:rPr>
            </w:pPr>
            <w:r>
              <w:rPr>
                <w:sz w:val="4"/>
                <w:szCs w:val="4"/>
              </w:rPr>
            </w:r>
          </w:p>
        </w:tc>
      </w:tr>
      <w:tr>
        <w:trPr/>
        <w:tc>
          <w:tcPr>
            <w:tcW w:w="5795" w:type="dxa"/>
            <w:tcBorders/>
            <w:shd w:fill="D5EBF6" w:val="clear"/>
            <w:vAlign w:val="center"/>
          </w:tcPr>
          <w:p>
            <w:pPr>
              <w:pStyle w:val="TableContents"/>
              <w:bidi w:val="0"/>
              <w:spacing w:before="0" w:after="0"/>
              <w:jc w:val="left"/>
              <w:rPr/>
            </w:pPr>
            <w:r>
              <w:rPr/>
              <w:t> </w:t>
            </w:r>
            <w:r>
              <w:rPr>
                <w:rFonts w:ascii="ARIAL" w:hAnsi="ARIAL"/>
                <w:sz w:val="22"/>
              </w:rPr>
              <w:t>Christopher H. Peterson</w:t>
            </w:r>
          </w:p>
        </w:tc>
        <w:tc>
          <w:tcPr>
            <w:tcW w:w="120"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1837" w:type="dxa"/>
            <w:tcBorders/>
            <w:shd w:fill="D5EBF6" w:val="clear"/>
            <w:vAlign w:val="center"/>
          </w:tcPr>
          <w:p>
            <w:pPr>
              <w:pStyle w:val="TableContents"/>
              <w:bidi w:val="0"/>
              <w:spacing w:before="0" w:after="283"/>
              <w:jc w:val="center"/>
              <w:rPr/>
            </w:pPr>
            <w:r>
              <w:rPr/>
              <w:t>3,438,902 (4)</w:t>
            </w:r>
          </w:p>
        </w:tc>
        <w:tc>
          <w:tcPr>
            <w:tcW w:w="85"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846" w:type="dxa"/>
            <w:tcBorders/>
            <w:shd w:fill="D5EBF6" w:val="clear"/>
            <w:vAlign w:val="center"/>
          </w:tcPr>
          <w:p>
            <w:pPr>
              <w:pStyle w:val="TableContents"/>
              <w:bidi w:val="0"/>
              <w:spacing w:before="0" w:after="283"/>
              <w:jc w:val="center"/>
              <w:rPr/>
            </w:pPr>
            <w:r>
              <w:rPr/>
              <w:t>*</w:t>
            </w:r>
          </w:p>
        </w:tc>
        <w:tc>
          <w:tcPr>
            <w:tcW w:w="139" w:type="dxa"/>
            <w:tcBorders/>
            <w:shd w:fill="D5EBF6"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sz w:val="4"/>
                <w:szCs w:val="4"/>
              </w:rPr>
            </w:pPr>
            <w:r>
              <w:rPr>
                <w:sz w:val="4"/>
                <w:szCs w:val="4"/>
              </w:rPr>
            </w:r>
          </w:p>
        </w:tc>
        <w:tc>
          <w:tcPr>
            <w:tcW w:w="2210" w:type="dxa"/>
            <w:gridSpan w:val="5"/>
            <w:tcBorders/>
            <w:vAlign w:val="center"/>
          </w:tcPr>
          <w:p>
            <w:pPr>
              <w:pStyle w:val="TableContents"/>
              <w:bidi w:val="0"/>
              <w:spacing w:before="0" w:after="283"/>
              <w:jc w:val="left"/>
              <w:rPr>
                <w:sz w:val="4"/>
                <w:szCs w:val="4"/>
              </w:rPr>
            </w:pPr>
            <w:r>
              <w:rPr>
                <w:sz w:val="4"/>
                <w:szCs w:val="4"/>
              </w:rPr>
            </w:r>
          </w:p>
        </w:tc>
        <w:tc>
          <w:tcPr>
            <w:tcW w:w="1323" w:type="dxa"/>
            <w:gridSpan w:val="5"/>
            <w:tcBorders/>
            <w:vAlign w:val="center"/>
          </w:tcPr>
          <w:p>
            <w:pPr>
              <w:pStyle w:val="TableContents"/>
              <w:bidi w:val="0"/>
              <w:spacing w:before="0" w:after="283"/>
              <w:jc w:val="left"/>
              <w:rPr>
                <w:sz w:val="4"/>
                <w:szCs w:val="4"/>
              </w:rPr>
            </w:pPr>
            <w:r>
              <w:rPr>
                <w:sz w:val="4"/>
                <w:szCs w:val="4"/>
              </w:rPr>
            </w:r>
          </w:p>
        </w:tc>
      </w:tr>
      <w:tr>
        <w:trPr/>
        <w:tc>
          <w:tcPr>
            <w:tcW w:w="5795" w:type="dxa"/>
            <w:tcBorders/>
            <w:vAlign w:val="center"/>
          </w:tcPr>
          <w:p>
            <w:pPr>
              <w:pStyle w:val="TableContents"/>
              <w:bidi w:val="0"/>
              <w:spacing w:before="0" w:after="0"/>
              <w:jc w:val="left"/>
              <w:rPr/>
            </w:pPr>
            <w:r>
              <w:rPr/>
              <w:t> </w:t>
            </w:r>
            <w:r>
              <w:rPr>
                <w:rFonts w:ascii="ARIAL" w:hAnsi="ARIAL"/>
                <w:sz w:val="22"/>
              </w:rPr>
              <w:t>Mark J. Erceg</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center"/>
              <w:rPr/>
            </w:pPr>
            <w:r>
              <w:rPr/>
              <w:t>1,479,104 (5)(6)</w:t>
            </w:r>
          </w:p>
        </w:tc>
        <w:tc>
          <w:tcPr>
            <w:tcW w:w="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center"/>
              <w:rPr/>
            </w:pPr>
            <w:r>
              <w:rPr/>
              <w:t>*</w:t>
            </w:r>
          </w:p>
        </w:tc>
        <w:tc>
          <w:tcPr>
            <w:tcW w:w="139" w:type="dxa"/>
            <w:tcBorders/>
            <w:vAlign w:val="center"/>
          </w:tcPr>
          <w:p>
            <w:pPr>
              <w:pStyle w:val="TableContents"/>
              <w:bidi w:val="0"/>
              <w:spacing w:before="0" w:after="283"/>
              <w:jc w:val="left"/>
              <w:rPr/>
            </w:pPr>
            <w:r>
              <w:rPr/>
              <w:t> </w:t>
            </w:r>
          </w:p>
        </w:tc>
      </w:tr>
      <w:tr>
        <w:trPr/>
        <w:tc>
          <w:tcPr>
            <w:tcW w:w="5795" w:type="dxa"/>
            <w:tcBorders/>
            <w:shd w:fill="D5EBF6" w:val="clear"/>
            <w:vAlign w:val="center"/>
          </w:tcPr>
          <w:p>
            <w:pPr>
              <w:pStyle w:val="TableContents"/>
              <w:bidi w:val="0"/>
              <w:spacing w:before="0" w:after="283"/>
              <w:jc w:val="left"/>
              <w:rPr>
                <w:sz w:val="4"/>
                <w:szCs w:val="4"/>
              </w:rPr>
            </w:pPr>
            <w:r>
              <w:rPr>
                <w:sz w:val="4"/>
                <w:szCs w:val="4"/>
              </w:rPr>
            </w:r>
          </w:p>
        </w:tc>
        <w:tc>
          <w:tcPr>
            <w:tcW w:w="2210" w:type="dxa"/>
            <w:gridSpan w:val="5"/>
            <w:tcBorders/>
            <w:shd w:fill="D5EBF6" w:val="clear"/>
            <w:vAlign w:val="center"/>
          </w:tcPr>
          <w:p>
            <w:pPr>
              <w:pStyle w:val="TableContents"/>
              <w:bidi w:val="0"/>
              <w:spacing w:before="0" w:after="283"/>
              <w:jc w:val="left"/>
              <w:rPr>
                <w:sz w:val="4"/>
                <w:szCs w:val="4"/>
              </w:rPr>
            </w:pPr>
            <w:r>
              <w:rPr>
                <w:sz w:val="4"/>
                <w:szCs w:val="4"/>
              </w:rPr>
            </w:r>
          </w:p>
        </w:tc>
        <w:tc>
          <w:tcPr>
            <w:tcW w:w="1323" w:type="dxa"/>
            <w:gridSpan w:val="5"/>
            <w:tcBorders/>
            <w:shd w:fill="D5EBF6" w:val="clear"/>
            <w:vAlign w:val="center"/>
          </w:tcPr>
          <w:p>
            <w:pPr>
              <w:pStyle w:val="TableContents"/>
              <w:bidi w:val="0"/>
              <w:spacing w:before="0" w:after="283"/>
              <w:jc w:val="left"/>
              <w:rPr>
                <w:sz w:val="4"/>
                <w:szCs w:val="4"/>
              </w:rPr>
            </w:pPr>
            <w:r>
              <w:rPr>
                <w:sz w:val="4"/>
                <w:szCs w:val="4"/>
              </w:rPr>
            </w:r>
          </w:p>
        </w:tc>
      </w:tr>
      <w:tr>
        <w:trPr/>
        <w:tc>
          <w:tcPr>
            <w:tcW w:w="5795" w:type="dxa"/>
            <w:tcBorders/>
            <w:shd w:fill="D5EBF6" w:val="clear"/>
            <w:vAlign w:val="center"/>
          </w:tcPr>
          <w:p>
            <w:pPr>
              <w:pStyle w:val="TableContents"/>
              <w:bidi w:val="0"/>
              <w:spacing w:before="0" w:after="0"/>
              <w:jc w:val="left"/>
              <w:rPr/>
            </w:pPr>
            <w:r>
              <w:rPr/>
              <w:t> </w:t>
            </w:r>
            <w:r>
              <w:rPr>
                <w:rFonts w:ascii="ARIAL" w:hAnsi="ARIAL"/>
                <w:sz w:val="22"/>
              </w:rPr>
              <w:t>Bradford R. Turner</w:t>
            </w:r>
          </w:p>
        </w:tc>
        <w:tc>
          <w:tcPr>
            <w:tcW w:w="120"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1837" w:type="dxa"/>
            <w:tcBorders/>
            <w:shd w:fill="D5EBF6" w:val="clear"/>
            <w:vAlign w:val="center"/>
          </w:tcPr>
          <w:p>
            <w:pPr>
              <w:pStyle w:val="TableContents"/>
              <w:bidi w:val="0"/>
              <w:spacing w:before="0" w:after="283"/>
              <w:jc w:val="center"/>
              <w:rPr/>
            </w:pPr>
            <w:r>
              <w:rPr/>
              <w:t>891,912 (4)</w:t>
            </w:r>
          </w:p>
        </w:tc>
        <w:tc>
          <w:tcPr>
            <w:tcW w:w="85"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846" w:type="dxa"/>
            <w:tcBorders/>
            <w:shd w:fill="D5EBF6" w:val="clear"/>
            <w:vAlign w:val="center"/>
          </w:tcPr>
          <w:p>
            <w:pPr>
              <w:pStyle w:val="TableContents"/>
              <w:bidi w:val="0"/>
              <w:spacing w:before="0" w:after="283"/>
              <w:jc w:val="center"/>
              <w:rPr/>
            </w:pPr>
            <w:r>
              <w:rPr/>
              <w:t>*</w:t>
            </w:r>
          </w:p>
        </w:tc>
        <w:tc>
          <w:tcPr>
            <w:tcW w:w="139" w:type="dxa"/>
            <w:tcBorders/>
            <w:shd w:fill="D5EBF6"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sz w:val="4"/>
                <w:szCs w:val="4"/>
              </w:rPr>
            </w:pPr>
            <w:r>
              <w:rPr>
                <w:sz w:val="4"/>
                <w:szCs w:val="4"/>
              </w:rPr>
            </w:r>
          </w:p>
        </w:tc>
        <w:tc>
          <w:tcPr>
            <w:tcW w:w="2210" w:type="dxa"/>
            <w:gridSpan w:val="5"/>
            <w:tcBorders/>
            <w:vAlign w:val="center"/>
          </w:tcPr>
          <w:p>
            <w:pPr>
              <w:pStyle w:val="TableContents"/>
              <w:bidi w:val="0"/>
              <w:spacing w:before="0" w:after="283"/>
              <w:jc w:val="left"/>
              <w:rPr>
                <w:sz w:val="4"/>
                <w:szCs w:val="4"/>
              </w:rPr>
            </w:pPr>
            <w:r>
              <w:rPr>
                <w:sz w:val="4"/>
                <w:szCs w:val="4"/>
              </w:rPr>
            </w:r>
          </w:p>
        </w:tc>
        <w:tc>
          <w:tcPr>
            <w:tcW w:w="1323" w:type="dxa"/>
            <w:gridSpan w:val="5"/>
            <w:tcBorders/>
            <w:vAlign w:val="center"/>
          </w:tcPr>
          <w:p>
            <w:pPr>
              <w:pStyle w:val="TableContents"/>
              <w:bidi w:val="0"/>
              <w:spacing w:before="0" w:after="283"/>
              <w:jc w:val="left"/>
              <w:rPr>
                <w:sz w:val="4"/>
                <w:szCs w:val="4"/>
              </w:rPr>
            </w:pPr>
            <w:r>
              <w:rPr>
                <w:sz w:val="4"/>
                <w:szCs w:val="4"/>
              </w:rPr>
            </w:r>
          </w:p>
        </w:tc>
      </w:tr>
      <w:tr>
        <w:trPr/>
        <w:tc>
          <w:tcPr>
            <w:tcW w:w="5795" w:type="dxa"/>
            <w:tcBorders/>
            <w:vAlign w:val="center"/>
          </w:tcPr>
          <w:p>
            <w:pPr>
              <w:pStyle w:val="TableContents"/>
              <w:bidi w:val="0"/>
              <w:spacing w:before="0" w:after="0"/>
              <w:jc w:val="left"/>
              <w:rPr/>
            </w:pPr>
            <w:r>
              <w:rPr/>
              <w:t> </w:t>
            </w:r>
            <w:r>
              <w:rPr>
                <w:rFonts w:ascii="ARIAL" w:hAnsi="ARIAL"/>
                <w:sz w:val="22"/>
              </w:rPr>
              <w:t>Tracy L. Platt</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center"/>
              <w:rPr/>
            </w:pPr>
            <w:r>
              <w:rPr/>
              <w:t>96,169</w:t>
            </w:r>
          </w:p>
        </w:tc>
        <w:tc>
          <w:tcPr>
            <w:tcW w:w="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center"/>
              <w:rPr/>
            </w:pPr>
            <w:r>
              <w:rPr/>
              <w:t>*</w:t>
            </w:r>
          </w:p>
        </w:tc>
        <w:tc>
          <w:tcPr>
            <w:tcW w:w="139" w:type="dxa"/>
            <w:tcBorders/>
            <w:vAlign w:val="center"/>
          </w:tcPr>
          <w:p>
            <w:pPr>
              <w:pStyle w:val="TableContents"/>
              <w:bidi w:val="0"/>
              <w:spacing w:before="0" w:after="283"/>
              <w:jc w:val="left"/>
              <w:rPr/>
            </w:pPr>
            <w:r>
              <w:rPr/>
              <w:t> </w:t>
            </w:r>
          </w:p>
        </w:tc>
      </w:tr>
      <w:tr>
        <w:trPr/>
        <w:tc>
          <w:tcPr>
            <w:tcW w:w="5795" w:type="dxa"/>
            <w:tcBorders/>
            <w:shd w:fill="D5EBF6" w:val="clear"/>
            <w:vAlign w:val="center"/>
          </w:tcPr>
          <w:p>
            <w:pPr>
              <w:pStyle w:val="TableContents"/>
              <w:bidi w:val="0"/>
              <w:spacing w:before="0" w:after="283"/>
              <w:jc w:val="left"/>
              <w:rPr>
                <w:sz w:val="4"/>
                <w:szCs w:val="4"/>
              </w:rPr>
            </w:pPr>
            <w:r>
              <w:rPr>
                <w:sz w:val="4"/>
                <w:szCs w:val="4"/>
              </w:rPr>
            </w:r>
          </w:p>
        </w:tc>
        <w:tc>
          <w:tcPr>
            <w:tcW w:w="2210" w:type="dxa"/>
            <w:gridSpan w:val="5"/>
            <w:tcBorders/>
            <w:shd w:fill="D5EBF6" w:val="clear"/>
            <w:vAlign w:val="center"/>
          </w:tcPr>
          <w:p>
            <w:pPr>
              <w:pStyle w:val="TableContents"/>
              <w:bidi w:val="0"/>
              <w:spacing w:before="0" w:after="283"/>
              <w:jc w:val="left"/>
              <w:rPr>
                <w:sz w:val="4"/>
                <w:szCs w:val="4"/>
              </w:rPr>
            </w:pPr>
            <w:r>
              <w:rPr>
                <w:sz w:val="4"/>
                <w:szCs w:val="4"/>
              </w:rPr>
            </w:r>
          </w:p>
        </w:tc>
        <w:tc>
          <w:tcPr>
            <w:tcW w:w="1323" w:type="dxa"/>
            <w:gridSpan w:val="5"/>
            <w:tcBorders/>
            <w:shd w:fill="D5EBF6" w:val="clear"/>
            <w:vAlign w:val="center"/>
          </w:tcPr>
          <w:p>
            <w:pPr>
              <w:pStyle w:val="TableContents"/>
              <w:bidi w:val="0"/>
              <w:spacing w:before="0" w:after="283"/>
              <w:jc w:val="left"/>
              <w:rPr>
                <w:sz w:val="4"/>
                <w:szCs w:val="4"/>
              </w:rPr>
            </w:pPr>
            <w:r>
              <w:rPr>
                <w:sz w:val="4"/>
                <w:szCs w:val="4"/>
              </w:rPr>
            </w:r>
          </w:p>
        </w:tc>
      </w:tr>
      <w:tr>
        <w:trPr/>
        <w:tc>
          <w:tcPr>
            <w:tcW w:w="5795" w:type="dxa"/>
            <w:tcBorders/>
            <w:shd w:fill="D5EBF6" w:val="clear"/>
            <w:vAlign w:val="center"/>
          </w:tcPr>
          <w:p>
            <w:pPr>
              <w:pStyle w:val="TableContents"/>
              <w:bidi w:val="0"/>
              <w:spacing w:before="0" w:after="0"/>
              <w:jc w:val="left"/>
              <w:rPr/>
            </w:pPr>
            <w:r>
              <w:rPr/>
              <w:t> </w:t>
            </w:r>
            <w:r>
              <w:rPr>
                <w:rFonts w:ascii="ARIAL" w:hAnsi="ARIAL"/>
                <w:sz w:val="22"/>
              </w:rPr>
              <w:t>Kristine K. Malkoski</w:t>
            </w:r>
          </w:p>
        </w:tc>
        <w:tc>
          <w:tcPr>
            <w:tcW w:w="120"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84" w:type="dxa"/>
            <w:tcBorders/>
            <w:shd w:fill="D5EBF6" w:val="clear"/>
            <w:vAlign w:val="center"/>
          </w:tcPr>
          <w:p>
            <w:pPr>
              <w:pStyle w:val="TableContents"/>
              <w:bidi w:val="0"/>
              <w:spacing w:before="0" w:after="283"/>
              <w:jc w:val="left"/>
              <w:rPr/>
            </w:pPr>
            <w:r>
              <w:rPr/>
              <w:t> </w:t>
            </w:r>
          </w:p>
        </w:tc>
        <w:tc>
          <w:tcPr>
            <w:tcW w:w="1837" w:type="dxa"/>
            <w:tcBorders/>
            <w:shd w:fill="D5EBF6" w:val="clear"/>
            <w:vAlign w:val="center"/>
          </w:tcPr>
          <w:p>
            <w:pPr>
              <w:pStyle w:val="TableContents"/>
              <w:bidi w:val="0"/>
              <w:spacing w:before="0" w:after="283"/>
              <w:jc w:val="center"/>
              <w:rPr/>
            </w:pPr>
            <w:r>
              <w:rPr/>
              <w:t>481,621 (4)(7)</w:t>
            </w:r>
          </w:p>
        </w:tc>
        <w:tc>
          <w:tcPr>
            <w:tcW w:w="85"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109" w:type="dxa"/>
            <w:tcBorders/>
            <w:shd w:fill="D5EBF6" w:val="clear"/>
            <w:vAlign w:val="center"/>
          </w:tcPr>
          <w:p>
            <w:pPr>
              <w:pStyle w:val="TableContents"/>
              <w:bidi w:val="0"/>
              <w:spacing w:before="0" w:after="283"/>
              <w:jc w:val="left"/>
              <w:rPr/>
            </w:pPr>
            <w:r>
              <w:rPr/>
              <w:t> </w:t>
            </w:r>
          </w:p>
        </w:tc>
        <w:tc>
          <w:tcPr>
            <w:tcW w:w="846" w:type="dxa"/>
            <w:tcBorders/>
            <w:shd w:fill="D5EBF6" w:val="clear"/>
            <w:vAlign w:val="center"/>
          </w:tcPr>
          <w:p>
            <w:pPr>
              <w:pStyle w:val="TableContents"/>
              <w:bidi w:val="0"/>
              <w:spacing w:before="0" w:after="283"/>
              <w:jc w:val="center"/>
              <w:rPr/>
            </w:pPr>
            <w:r>
              <w:rPr/>
              <w:t>*</w:t>
            </w:r>
          </w:p>
        </w:tc>
        <w:tc>
          <w:tcPr>
            <w:tcW w:w="139" w:type="dxa"/>
            <w:tcBorders/>
            <w:shd w:fill="D5EBF6"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sz w:val="4"/>
                <w:szCs w:val="4"/>
              </w:rPr>
            </w:pPr>
            <w:r>
              <w:rPr>
                <w:sz w:val="4"/>
                <w:szCs w:val="4"/>
              </w:rPr>
            </w:r>
          </w:p>
        </w:tc>
        <w:tc>
          <w:tcPr>
            <w:tcW w:w="2210" w:type="dxa"/>
            <w:gridSpan w:val="5"/>
            <w:tcBorders/>
            <w:vAlign w:val="center"/>
          </w:tcPr>
          <w:p>
            <w:pPr>
              <w:pStyle w:val="TableContents"/>
              <w:bidi w:val="0"/>
              <w:spacing w:before="0" w:after="283"/>
              <w:jc w:val="left"/>
              <w:rPr>
                <w:sz w:val="4"/>
                <w:szCs w:val="4"/>
              </w:rPr>
            </w:pPr>
            <w:r>
              <w:rPr>
                <w:sz w:val="4"/>
                <w:szCs w:val="4"/>
              </w:rPr>
            </w:r>
          </w:p>
        </w:tc>
        <w:tc>
          <w:tcPr>
            <w:tcW w:w="1323" w:type="dxa"/>
            <w:gridSpan w:val="5"/>
            <w:tcBorders/>
            <w:vAlign w:val="center"/>
          </w:tcPr>
          <w:p>
            <w:pPr>
              <w:pStyle w:val="TableContents"/>
              <w:bidi w:val="0"/>
              <w:spacing w:before="0" w:after="283"/>
              <w:jc w:val="left"/>
              <w:rPr>
                <w:sz w:val="4"/>
                <w:szCs w:val="4"/>
              </w:rPr>
            </w:pPr>
            <w:r>
              <w:rPr>
                <w:sz w:val="4"/>
                <w:szCs w:val="4"/>
              </w:rPr>
            </w:r>
          </w:p>
        </w:tc>
      </w:tr>
      <w:tr>
        <w:trPr/>
        <w:tc>
          <w:tcPr>
            <w:tcW w:w="5795" w:type="dxa"/>
            <w:tcBorders>
              <w:bottom w:val="single" w:sz="6" w:space="0" w:color="000000"/>
            </w:tcBorders>
            <w:tcMar>
              <w:bottom w:w="40" w:type="dxa"/>
            </w:tcMar>
            <w:vAlign w:val="center"/>
          </w:tcPr>
          <w:p>
            <w:pPr>
              <w:pStyle w:val="TableContents"/>
              <w:bidi w:val="0"/>
              <w:spacing w:before="0" w:after="0"/>
              <w:jc w:val="left"/>
              <w:rPr/>
            </w:pPr>
            <w:r>
              <w:rPr/>
              <w:t> </w:t>
            </w:r>
            <w:r>
              <w:rPr>
                <w:rFonts w:ascii="ARIAL" w:hAnsi="ARIAL"/>
                <w:b/>
                <w:sz w:val="22"/>
              </w:rPr>
              <w:t>All directors and current executive officers as a group</w:t>
            </w:r>
          </w:p>
          <w:p>
            <w:pPr>
              <w:pStyle w:val="TableContents"/>
              <w:bidi w:val="0"/>
              <w:spacing w:before="0" w:after="20"/>
              <w:jc w:val="left"/>
              <w:rPr/>
            </w:pPr>
            <w:r>
              <w:rPr/>
              <w:t> </w:t>
            </w:r>
            <w:r>
              <w:rPr>
                <w:rFonts w:ascii="ARIAL" w:hAnsi="ARIAL"/>
                <w:b/>
                <w:sz w:val="22"/>
              </w:rPr>
              <w:t>(16 people)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4" w:type="dxa"/>
            <w:tcBorders>
              <w:bottom w:val="single" w:sz="6" w:space="0" w:color="000000"/>
            </w:tcBorders>
            <w:tcMar>
              <w:bottom w:w="28" w:type="dxa"/>
            </w:tcMar>
            <w:vAlign w:val="center"/>
          </w:tcPr>
          <w:p>
            <w:pPr>
              <w:pStyle w:val="TableContents"/>
              <w:bidi w:val="0"/>
              <w:spacing w:before="0" w:after="283"/>
              <w:jc w:val="left"/>
              <w:rPr/>
            </w:pPr>
            <w:r>
              <w:rPr/>
              <w:t> </w:t>
            </w:r>
          </w:p>
        </w:tc>
        <w:tc>
          <w:tcPr>
            <w:tcW w:w="84" w:type="dxa"/>
            <w:tcBorders>
              <w:bottom w:val="single" w:sz="6" w:space="0" w:color="000000"/>
            </w:tcBorders>
            <w:tcMar>
              <w:bottom w:w="40" w:type="dxa"/>
            </w:tcMar>
            <w:vAlign w:val="center"/>
          </w:tcPr>
          <w:p>
            <w:pPr>
              <w:pStyle w:val="TableContents"/>
              <w:bidi w:val="0"/>
              <w:spacing w:before="0" w:after="283"/>
              <w:jc w:val="left"/>
              <w:rPr/>
            </w:pPr>
            <w:r>
              <w:rPr/>
              <w:t> </w:t>
            </w:r>
          </w:p>
        </w:tc>
        <w:tc>
          <w:tcPr>
            <w:tcW w:w="1837" w:type="dxa"/>
            <w:tcBorders>
              <w:bottom w:val="single" w:sz="6" w:space="0" w:color="000000"/>
            </w:tcBorders>
            <w:tcMar>
              <w:bottom w:w="40" w:type="dxa"/>
            </w:tcMar>
            <w:vAlign w:val="center"/>
          </w:tcPr>
          <w:p>
            <w:pPr>
              <w:pStyle w:val="TableContents"/>
              <w:bidi w:val="0"/>
              <w:spacing w:before="0" w:after="283"/>
              <w:jc w:val="center"/>
              <w:rPr>
                <w:b/>
              </w:rPr>
            </w:pPr>
            <w:r>
              <w:rPr>
                <w:b/>
              </w:rPr>
              <w:t>6,975,500 (8)</w:t>
            </w:r>
          </w:p>
        </w:tc>
        <w:tc>
          <w:tcPr>
            <w:tcW w:w="85"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bottom w:val="single" w:sz="6" w:space="0" w:color="000000"/>
            </w:tcBorders>
            <w:tcMar>
              <w:bottom w:w="40" w:type="dxa"/>
            </w:tcMar>
            <w:vAlign w:val="center"/>
          </w:tcPr>
          <w:p>
            <w:pPr>
              <w:pStyle w:val="TableContents"/>
              <w:bidi w:val="0"/>
              <w:spacing w:before="0" w:after="283"/>
              <w:jc w:val="left"/>
              <w:rPr/>
            </w:pPr>
            <w:r>
              <w:rPr/>
              <w:t> </w:t>
            </w:r>
          </w:p>
        </w:tc>
        <w:tc>
          <w:tcPr>
            <w:tcW w:w="846" w:type="dxa"/>
            <w:tcBorders>
              <w:bottom w:val="single" w:sz="6" w:space="0" w:color="000000"/>
            </w:tcBorders>
            <w:tcMar>
              <w:bottom w:w="40" w:type="dxa"/>
            </w:tcMar>
            <w:vAlign w:val="center"/>
          </w:tcPr>
          <w:p>
            <w:pPr>
              <w:pStyle w:val="TableContents"/>
              <w:bidi w:val="0"/>
              <w:spacing w:before="0" w:after="283"/>
              <w:jc w:val="center"/>
              <w:rPr>
                <w:b/>
              </w:rPr>
            </w:pPr>
            <w:r>
              <w:rPr>
                <w:b/>
              </w:rPr>
              <w:t>1.64%</w:t>
            </w:r>
          </w:p>
        </w:tc>
        <w:tc>
          <w:tcPr>
            <w:tcW w:w="139"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579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4" w:type="dxa"/>
            <w:tcBorders>
              <w:bottom w:val="single" w:sz="6" w:space="0" w:color="000000"/>
            </w:tcBorders>
            <w:tcMar>
              <w:bottom w:w="28" w:type="dxa"/>
            </w:tcMar>
            <w:vAlign w:val="center"/>
          </w:tcPr>
          <w:p>
            <w:pPr>
              <w:pStyle w:val="TableContents"/>
              <w:bidi w:val="0"/>
              <w:spacing w:before="0" w:after="283"/>
              <w:jc w:val="left"/>
              <w:rPr/>
            </w:pPr>
            <w:r>
              <w:rPr/>
              <w:t> </w:t>
            </w:r>
          </w:p>
        </w:tc>
        <w:tc>
          <w:tcPr>
            <w:tcW w:w="84"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837"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85" w:type="dxa"/>
            <w:tcBorders>
              <w:bottom w:val="single" w:sz="6" w:space="0" w:color="000000"/>
            </w:tcBorders>
            <w:tcMar>
              <w:bottom w:w="28" w:type="dxa"/>
            </w:tcMar>
            <w:vAlign w:val="center"/>
          </w:tcPr>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846" w:type="dxa"/>
            <w:tcBorders>
              <w:bottom w:val="single" w:sz="6" w:space="0" w:color="000000"/>
            </w:tcBorders>
            <w:tcMar>
              <w:bottom w:w="28" w:type="dxa"/>
            </w:tcMar>
            <w:vAlign w:val="center"/>
          </w:tcPr>
          <w:p>
            <w:pPr>
              <w:pStyle w:val="TableContents"/>
              <w:bidi w:val="0"/>
              <w:spacing w:before="0" w:after="283"/>
              <w:jc w:val="left"/>
              <w:rPr/>
            </w:pPr>
            <w:r>
              <w:rPr/>
              <w:t> </w:t>
            </w:r>
          </w:p>
        </w:tc>
        <w:tc>
          <w:tcPr>
            <w:tcW w:w="139"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 Represents less than 1% of the Company’s outstanding 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both"/>
              <w:rPr>
                <w:rFonts w:ascii="ARIAL" w:hAnsi="ARIAL"/>
                <w:sz w:val="18"/>
              </w:rPr>
            </w:pPr>
            <w:r>
              <w:rPr>
                <w:rFonts w:ascii="ARIAL" w:hAnsi="ARIAL"/>
                <w:sz w:val="18"/>
              </w:rPr>
              <w:t xml:space="preserve">Includes 40,200 shares beneficially owned by Ms. Ryan Berman through the Bridget Ryan Berman Trust, for which she is the Trustee.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305"/>
        <w:gridCol w:w="5525"/>
      </w:tblGrid>
      <w:tr>
        <w:trPr/>
        <w:tc>
          <w:tcPr>
            <w:tcW w:w="305" w:type="dxa"/>
            <w:tcBorders/>
            <w:vAlign w:val="center"/>
          </w:tcPr>
          <w:p>
            <w:pPr>
              <w:pStyle w:val="TableContents"/>
              <w:bidi w:val="0"/>
              <w:spacing w:before="0" w:after="283"/>
              <w:jc w:val="left"/>
              <w:rPr/>
            </w:pPr>
            <w:r>
              <w:rPr/>
              <w:t>(2)</w:t>
            </w:r>
          </w:p>
        </w:tc>
        <w:tc>
          <w:tcPr>
            <w:tcW w:w="5525" w:type="dxa"/>
            <w:tcBorders/>
            <w:vAlign w:val="center"/>
          </w:tcPr>
          <w:p>
            <w:pPr>
              <w:pStyle w:val="TableContents"/>
              <w:bidi w:val="0"/>
              <w:spacing w:before="0" w:after="0"/>
              <w:jc w:val="both"/>
              <w:rPr>
                <w:rFonts w:ascii="ARIAL" w:hAnsi="ARIAL"/>
                <w:sz w:val="18"/>
              </w:rPr>
            </w:pPr>
            <w:r>
              <w:rPr>
                <w:rFonts w:ascii="ARIAL" w:hAnsi="ARIAL"/>
                <w:sz w:val="18"/>
              </w:rPr>
              <w:t xml:space="preserve">Includes 135 shares owned directly by Ms. Ryan Berman’s spouse.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305"/>
        <w:gridCol w:w="5870"/>
      </w:tblGrid>
      <w:tr>
        <w:trPr/>
        <w:tc>
          <w:tcPr>
            <w:tcW w:w="305" w:type="dxa"/>
            <w:tcBorders/>
            <w:vAlign w:val="center"/>
          </w:tcPr>
          <w:p>
            <w:pPr>
              <w:pStyle w:val="TableContents"/>
              <w:bidi w:val="0"/>
              <w:spacing w:before="0" w:after="283"/>
              <w:jc w:val="left"/>
              <w:rPr/>
            </w:pPr>
            <w:r>
              <w:rPr/>
              <w:t>(3)</w:t>
            </w:r>
          </w:p>
        </w:tc>
        <w:tc>
          <w:tcPr>
            <w:tcW w:w="5870" w:type="dxa"/>
            <w:tcBorders/>
            <w:vAlign w:val="center"/>
          </w:tcPr>
          <w:p>
            <w:pPr>
              <w:pStyle w:val="TableContents"/>
              <w:bidi w:val="0"/>
              <w:spacing w:before="0" w:after="0"/>
              <w:jc w:val="both"/>
              <w:rPr>
                <w:rFonts w:ascii="ARIAL" w:hAnsi="ARIAL"/>
                <w:sz w:val="18"/>
              </w:rPr>
            </w:pPr>
            <w:r>
              <w:rPr>
                <w:rFonts w:ascii="ARIAL" w:hAnsi="ARIAL"/>
                <w:sz w:val="18"/>
              </w:rPr>
              <w:t xml:space="preserve">Includes 44,808 shares held in a joint account with Mr. Lopez’s spouse.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0"/>
              <w:jc w:val="both"/>
              <w:rPr>
                <w:rFonts w:ascii="ARIAL" w:hAnsi="ARIAL"/>
                <w:sz w:val="18"/>
              </w:rPr>
            </w:pPr>
            <w:r>
              <w:rPr>
                <w:rFonts w:ascii="ARIAL" w:hAnsi="ARIAL"/>
                <w:sz w:val="18"/>
              </w:rPr>
              <w:t xml:space="preserve">Includes the following aggregate amounts of vested options, as applicable to each individual: for Mr. Peterson, 617,198 options; for Mr. Turner, 327,463 options; and for Ms. Malkoski 154,625 options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305"/>
        <w:gridCol w:w="5945"/>
      </w:tblGrid>
      <w:tr>
        <w:trPr/>
        <w:tc>
          <w:tcPr>
            <w:tcW w:w="305" w:type="dxa"/>
            <w:tcBorders/>
            <w:vAlign w:val="center"/>
          </w:tcPr>
          <w:p>
            <w:pPr>
              <w:pStyle w:val="TableContents"/>
              <w:bidi w:val="0"/>
              <w:spacing w:before="0" w:after="283"/>
              <w:jc w:val="left"/>
              <w:rPr/>
            </w:pPr>
            <w:r>
              <w:rPr/>
              <w:t>(5)</w:t>
            </w:r>
          </w:p>
        </w:tc>
        <w:tc>
          <w:tcPr>
            <w:tcW w:w="5945" w:type="dxa"/>
            <w:tcBorders/>
            <w:vAlign w:val="center"/>
          </w:tcPr>
          <w:p>
            <w:pPr>
              <w:pStyle w:val="TableContents"/>
              <w:bidi w:val="0"/>
              <w:spacing w:before="0" w:after="0"/>
              <w:jc w:val="both"/>
              <w:rPr>
                <w:rFonts w:ascii="ARIAL" w:hAnsi="ARIAL"/>
                <w:sz w:val="18"/>
              </w:rPr>
            </w:pPr>
            <w:r>
              <w:rPr>
                <w:rFonts w:ascii="ARIAL" w:hAnsi="ARIAL"/>
                <w:sz w:val="18"/>
              </w:rPr>
              <w:t xml:space="preserve">Includes 243,725 shares held in a joint account with Mr. Erceg’s spouse.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305"/>
        <w:gridCol w:w="7130"/>
      </w:tblGrid>
      <w:tr>
        <w:trPr/>
        <w:tc>
          <w:tcPr>
            <w:tcW w:w="305" w:type="dxa"/>
            <w:tcBorders/>
            <w:vAlign w:val="center"/>
          </w:tcPr>
          <w:p>
            <w:pPr>
              <w:pStyle w:val="TableContents"/>
              <w:bidi w:val="0"/>
              <w:spacing w:before="0" w:after="283"/>
              <w:jc w:val="left"/>
              <w:rPr/>
            </w:pPr>
            <w:r>
              <w:rPr/>
              <w:t>(6)</w:t>
            </w:r>
          </w:p>
        </w:tc>
        <w:tc>
          <w:tcPr>
            <w:tcW w:w="7130" w:type="dxa"/>
            <w:tcBorders/>
            <w:vAlign w:val="center"/>
          </w:tcPr>
          <w:p>
            <w:pPr>
              <w:pStyle w:val="TableContents"/>
              <w:bidi w:val="0"/>
              <w:spacing w:before="0" w:after="0"/>
              <w:jc w:val="both"/>
              <w:rPr>
                <w:rFonts w:ascii="ARIAL" w:hAnsi="ARIAL"/>
                <w:sz w:val="18"/>
              </w:rPr>
            </w:pPr>
            <w:r>
              <w:rPr>
                <w:rFonts w:ascii="ARIAL" w:hAnsi="ARIAL"/>
                <w:sz w:val="18"/>
              </w:rPr>
              <w:t xml:space="preserve">Includes 4,938 shares held by Mr. Erceg in the Newell Brands Employee Savings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(7)</w:t>
            </w:r>
          </w:p>
        </w:tc>
        <w:tc>
          <w:tcPr>
            <w:tcW w:w="9907" w:type="dxa"/>
            <w:tcBorders/>
            <w:vAlign w:val="center"/>
          </w:tcPr>
          <w:p>
            <w:pPr>
              <w:pStyle w:val="TableContents"/>
              <w:bidi w:val="0"/>
              <w:spacing w:before="0" w:after="0"/>
              <w:jc w:val="both"/>
              <w:rPr>
                <w:rFonts w:ascii="ARIAL" w:hAnsi="ARIAL"/>
                <w:sz w:val="18"/>
              </w:rPr>
            </w:pPr>
            <w:r>
              <w:rPr>
                <w:rFonts w:ascii="ARIAL" w:hAnsi="ARIAL"/>
                <w:sz w:val="18"/>
              </w:rPr>
              <w:t xml:space="preserve">Includes 10,850 shares directly owned by Ms. Malkoski’s spouse and 900 shares held in a joint account with Ms. Malkoski’s spouse.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(8)</w:t>
            </w:r>
          </w:p>
        </w:tc>
        <w:tc>
          <w:tcPr>
            <w:tcW w:w="9935" w:type="dxa"/>
            <w:tcBorders/>
            <w:vAlign w:val="center"/>
          </w:tcPr>
          <w:p>
            <w:pPr>
              <w:pStyle w:val="TableContents"/>
              <w:bidi w:val="0"/>
              <w:spacing w:before="0" w:after="0"/>
              <w:jc w:val="both"/>
              <w:rPr>
                <w:rFonts w:ascii="ARIAL" w:hAnsi="ARIAL"/>
                <w:sz w:val="18"/>
              </w:rPr>
            </w:pPr>
            <w:r>
              <w:rPr>
                <w:rFonts w:ascii="ARIAL" w:hAnsi="ARIAL"/>
                <w:sz w:val="18"/>
              </w:rPr>
              <w:t xml:space="preserve">Includes an aggregate amount of 1,122,511 vested options for all directors and executive officers. There are no unvested options or RSUs that will vest within 60 days for all directors and executive officers as a group.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248EC3"/>
          <w:sz w:val="22"/>
        </w:rPr>
      </w:pPr>
      <w:bookmarkStart w:id="12" w:name="toc52719_10"/>
      <w:bookmarkEnd w:id="12"/>
      <w:r>
        <w:rPr>
          <w:rFonts w:ascii="ARIAL" w:hAnsi="ARIAL"/>
          <w:b/>
          <w:color w:val="248EC3"/>
          <w:sz w:val="22"/>
        </w:rPr>
        <w:t xml:space="preserve">AUDIT COMMITTEE REPORT </w:t>
      </w:r>
    </w:p>
    <w:p>
      <w:pPr>
        <w:pStyle w:val="TextBody"/>
        <w:bidi w:val="0"/>
        <w:spacing w:before="240" w:after="0"/>
        <w:jc w:val="both"/>
        <w:rPr>
          <w:rFonts w:ascii="ARIAL" w:hAnsi="ARIAL"/>
          <w:sz w:val="22"/>
        </w:rPr>
      </w:pPr>
      <w:r>
        <w:rPr>
          <w:rFonts w:ascii="ARIAL" w:hAnsi="ARIAL"/>
          <w:sz w:val="22"/>
        </w:rPr>
        <w:t>The Audit Committee is appointed annually by the Board and currently consists of five members, all of whom are “independent directors” for purposes of the Audit Committee under the applicable SEC regulations, the applicable Nasdaq rules and the Company’s Corporate Governance Guidelines, and each of Ms. Sprieser and Messrs. Keane and Terry qualifies as an “audit committee financial expert” within the meaning of the applicable SEC regulations. The Audit Committee fulfills its responsibilities through periodic meetings with the Company’s independent registered public accounting firm, internal auditors and management. During 2025, the Audit Committee met six times. The Audit Committee acts under a written charter which was most recently updated by the Board in February 2024. A copy of the Audit Committee’s current charter is available under the “Corporate Governance” link under the Investors tab on the Company’s website at: </w:t>
      </w:r>
      <w:r>
        <w:rPr>
          <w:rFonts w:ascii="ARIAL" w:hAnsi="ARIAL"/>
          <w:i/>
          <w:sz w:val="22"/>
        </w:rPr>
        <w:t>www.newellbrands.com.</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The Audit Committee oversees the Company’s financial reporting process on behalf of the Board. Management has the primary responsibility for the preparation, presentation and integrity of the Company’s financial statements, for establishing and maintaining internal control over financial reporting and for assessing the effectiveness of the Company’s internal control over financial reporting as of the end of each fiscal year. The Company’s independent registered public accounting firm is responsible for planning and carrying out an audit of the Company’s annual financial statements and the Company’s internal control over financial reporting, and expressing opinions as to the conformity of the financial statements with generally accepted accounting principles and the effectiveness of internal control over financial reporting, based on its audits. </w:t>
      </w:r>
    </w:p>
    <w:p>
      <w:pPr>
        <w:pStyle w:val="TextBody"/>
        <w:bidi w:val="0"/>
        <w:spacing w:before="240" w:after="0"/>
        <w:jc w:val="both"/>
        <w:rPr>
          <w:rFonts w:ascii="ARIAL" w:hAnsi="ARIAL"/>
          <w:sz w:val="22"/>
        </w:rPr>
      </w:pPr>
      <w:r>
        <w:rPr>
          <w:rFonts w:ascii="ARIAL" w:hAnsi="ARIAL"/>
          <w:sz w:val="22"/>
        </w:rPr>
        <w:t xml:space="preserve">The Audit Committee discussed with the Company’s internal auditors and its independent registered public accounting firm the overall scope and plans for their respective audits. The Audit Committee meets with the internal auditors and representatives of the Company’s independent registered public accounting firm, with and without management present, to discuss the results of their examinations, their evaluations of the Company’s internal controls, and the overall quality of the Company’s financial reporting. </w:t>
      </w:r>
    </w:p>
    <w:p>
      <w:pPr>
        <w:pStyle w:val="TextBody"/>
        <w:bidi w:val="0"/>
        <w:spacing w:before="240" w:after="0"/>
        <w:jc w:val="both"/>
        <w:rPr>
          <w:rFonts w:ascii="ARIAL" w:hAnsi="ARIAL"/>
          <w:sz w:val="22"/>
        </w:rPr>
      </w:pPr>
      <w:r>
        <w:rPr>
          <w:rFonts w:ascii="ARIAL" w:hAnsi="ARIAL"/>
          <w:sz w:val="22"/>
        </w:rPr>
        <w:t xml:space="preserve">In fulfilling its oversight responsibilities, the Audit Committee reviewed and discussed the audited financial statements in the Annual Report on Form 10-K with management. The Audit Committee also reviewed and discussed with representatives of the Company’s independent registered public accounting firm their judgments as to the quality, not just the acceptability, of the Company’s accounting principles and underlying estimates in its financial statements, and the matters required to be discussed pursuant to the PCAOB’s Auditing Standards on Communications with Audit Committees, as currently in effect. The Audit Committee has received from the independent registered public accounting firm the written disclosures regarding their independence required by PCAOB Rule No. 3526, Communication with Audit Committees Concerning Independence, as currently in effect, and has discussed with representatives of the Company’s independent registered public accounting firm the firm’s independence from management and the Company. Finally, the Audit Committee has received written confirmations with respect to non-audit services performed by the independent registered public accounting firm and has considered whether such non-audit services are compatible with maintaining the firm’s independence.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Based on the reviews and discussions referred to above, the Audit Committee recommended to the Board that the audited financial statements be included in the Annual Report on Form 10-K for the year ended December 31, 2025, for filing with the SEC. </w:t>
      </w:r>
    </w:p>
    <w:p>
      <w:pPr>
        <w:pStyle w:val="TextBody"/>
        <w:bidi w:val="0"/>
        <w:spacing w:before="240" w:after="0"/>
        <w:jc w:val="both"/>
        <w:rPr>
          <w:rFonts w:ascii="ARIAL" w:hAnsi="ARIAL"/>
          <w:sz w:val="22"/>
        </w:rPr>
      </w:pPr>
      <w:r>
        <w:rPr>
          <w:rFonts w:ascii="ARIAL" w:hAnsi="ARIAL"/>
          <w:sz w:val="22"/>
        </w:rPr>
        <w:t xml:space="preserve">This report is submitted on behalf of the members of the Audit Committee: </w:t>
      </w:r>
    </w:p>
    <w:p>
      <w:pPr>
        <w:pStyle w:val="TextBody"/>
        <w:bidi w:val="0"/>
        <w:spacing w:before="240" w:after="0"/>
        <w:jc w:val="center"/>
        <w:rPr>
          <w:rFonts w:ascii="ARIAL" w:hAnsi="ARIAL"/>
          <w:sz w:val="22"/>
        </w:rPr>
      </w:pPr>
      <w:r>
        <w:rPr>
          <w:rFonts w:ascii="ARIAL" w:hAnsi="ARIAL"/>
          <w:sz w:val="22"/>
        </w:rPr>
        <w:t xml:space="preserve">Judith Sprieser, Chair </w:t>
      </w:r>
    </w:p>
    <w:p>
      <w:pPr>
        <w:pStyle w:val="TextBody"/>
        <w:bidi w:val="0"/>
        <w:spacing w:before="0" w:after="0"/>
        <w:jc w:val="center"/>
        <w:rPr>
          <w:rFonts w:ascii="ARIAL" w:hAnsi="ARIAL"/>
          <w:sz w:val="22"/>
        </w:rPr>
      </w:pPr>
      <w:r>
        <w:rPr>
          <w:rFonts w:ascii="ARIAL" w:hAnsi="ARIAL"/>
          <w:sz w:val="22"/>
        </w:rPr>
        <w:t xml:space="preserve">James P. Keane </w:t>
      </w:r>
    </w:p>
    <w:p>
      <w:pPr>
        <w:pStyle w:val="TextBody"/>
        <w:bidi w:val="0"/>
        <w:spacing w:before="0" w:after="0"/>
        <w:jc w:val="center"/>
        <w:rPr>
          <w:rFonts w:ascii="ARIAL" w:hAnsi="ARIAL"/>
          <w:sz w:val="22"/>
        </w:rPr>
      </w:pPr>
      <w:r>
        <w:rPr>
          <w:rFonts w:ascii="ARIAL" w:hAnsi="ARIAL"/>
          <w:sz w:val="22"/>
        </w:rPr>
        <w:t xml:space="preserve">Gerardo I. Lopez </w:t>
      </w:r>
    </w:p>
    <w:p>
      <w:pPr>
        <w:pStyle w:val="TextBody"/>
        <w:bidi w:val="0"/>
        <w:spacing w:before="0" w:after="0"/>
        <w:jc w:val="center"/>
        <w:rPr>
          <w:rFonts w:ascii="ARIAL" w:hAnsi="ARIAL"/>
          <w:sz w:val="22"/>
        </w:rPr>
      </w:pPr>
      <w:r>
        <w:rPr>
          <w:rFonts w:ascii="ARIAL" w:hAnsi="ARIAL"/>
          <w:sz w:val="22"/>
        </w:rPr>
        <w:t xml:space="preserve">Gary H. Pilnick </w:t>
      </w:r>
    </w:p>
    <w:p>
      <w:pPr>
        <w:pStyle w:val="TextBody"/>
        <w:bidi w:val="0"/>
        <w:spacing w:before="0" w:after="0"/>
        <w:jc w:val="center"/>
        <w:rPr>
          <w:rFonts w:ascii="ARIAL" w:hAnsi="ARIAL"/>
          <w:sz w:val="22"/>
        </w:rPr>
      </w:pPr>
      <w:r>
        <w:rPr>
          <w:rFonts w:ascii="ARIAL" w:hAnsi="ARIAL"/>
          <w:sz w:val="22"/>
        </w:rPr>
        <w:t xml:space="preserve">Anthony Terry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color w:val="248EC3"/>
          <w:sz w:val="22"/>
        </w:rPr>
      </w:pPr>
      <w:bookmarkStart w:id="13" w:name="toc52719_11"/>
      <w:bookmarkEnd w:id="13"/>
      <w:r>
        <w:rPr>
          <w:rFonts w:ascii="ARIAL" w:hAnsi="ARIAL"/>
          <w:b/>
          <w:color w:val="248EC3"/>
          <w:sz w:val="22"/>
        </w:rPr>
        <w:t xml:space="preserve">PROPOSAL 2 </w:t>
      </w:r>
      <w:r>
        <w:rPr>
          <w:rFonts w:ascii="ARIAL" w:hAnsi="ARIAL"/>
          <w:b/>
          <w:i/>
          <w:color w:val="248EC3"/>
          <w:sz w:val="22"/>
        </w:rPr>
        <w:t>-</w:t>
      </w:r>
      <w:r>
        <w:rPr>
          <w:rFonts w:ascii="ARIAL" w:hAnsi="ARIAL"/>
          <w:color w:val="248EC3"/>
          <w:sz w:val="22"/>
        </w:rPr>
        <w:t> </w:t>
      </w:r>
      <w:r>
        <w:rPr>
          <w:rFonts w:ascii="ARIAL" w:hAnsi="ARIAL"/>
          <w:b/>
          <w:color w:val="248EC3"/>
          <w:sz w:val="22"/>
        </w:rPr>
        <w:t xml:space="preserve">APPROVAL OF THE APPOINTMENT OF </w:t>
      </w:r>
    </w:p>
    <w:p>
      <w:pPr>
        <w:pStyle w:val="TextBody"/>
        <w:bidi w:val="0"/>
        <w:spacing w:before="0" w:after="0"/>
        <w:jc w:val="center"/>
        <w:rPr>
          <w:rFonts w:ascii="ARIAL" w:hAnsi="ARIAL"/>
          <w:b/>
          <w:color w:val="248EC3"/>
          <w:sz w:val="22"/>
        </w:rPr>
      </w:pPr>
      <w:r>
        <w:rPr>
          <w:rFonts w:ascii="ARIAL" w:hAnsi="ARIAL"/>
          <w:b/>
          <w:color w:val="248EC3"/>
          <w:sz w:val="22"/>
        </w:rPr>
        <w:t xml:space="preserve">INDEPENDENT REGISTERED PUBLIC ACCOUNTING FIRM </w:t>
      </w:r>
    </w:p>
    <w:p>
      <w:pPr>
        <w:pStyle w:val="TextBody"/>
        <w:bidi w:val="0"/>
        <w:spacing w:before="240" w:after="0"/>
        <w:jc w:val="both"/>
        <w:rPr>
          <w:rFonts w:ascii="ARIAL" w:hAnsi="ARIAL"/>
          <w:sz w:val="22"/>
        </w:rPr>
      </w:pPr>
      <w:r>
        <w:rPr>
          <w:rFonts w:ascii="ARIAL" w:hAnsi="ARIAL"/>
          <w:sz w:val="22"/>
        </w:rPr>
        <w:t>The Audit Committee has appointed PricewaterhouseCoopers LLP (“</w:t>
      </w:r>
      <w:r>
        <w:rPr>
          <w:rFonts w:ascii="ARIAL" w:hAnsi="ARIAL"/>
          <w:b/>
          <w:sz w:val="22"/>
        </w:rPr>
        <w:t>PwC</w:t>
      </w:r>
      <w:r>
        <w:rPr>
          <w:rFonts w:ascii="ARIAL" w:hAnsi="ARIAL"/>
          <w:sz w:val="22"/>
        </w:rPr>
        <w:t xml:space="preserve">”) as the Company’s independent registered public accounting firm to audit the consolidated financial statements of the Company for the fiscal year ending December 31, 2026. Representatives of PwC are expected to be present at the Annual Meeting to answer appropriate questions and, if they so desire, to make a statement. If the stockholders should fail to ratify the appointment of the independent registered public accounting firm, the Audit Committee would reconsider the appointment. </w:t>
      </w:r>
    </w:p>
    <w:p>
      <w:pPr>
        <w:pStyle w:val="TextBody"/>
        <w:bidi w:val="0"/>
        <w:spacing w:before="240" w:after="0"/>
        <w:jc w:val="both"/>
        <w:rPr>
          <w:rFonts w:ascii="ARIAL" w:hAnsi="ARIAL"/>
          <w:b/>
          <w:sz w:val="22"/>
        </w:rPr>
      </w:pPr>
      <w:r>
        <w:rPr>
          <w:rFonts w:ascii="ARIAL" w:hAnsi="ARIAL"/>
          <w:b/>
          <w:sz w:val="22"/>
        </w:rPr>
        <w:t xml:space="preserve">The Board unanimously recommends a vote “FOR” the approval of the appointment of PricewaterhouseCoopers LLP as the Company’s independent registered public accounting firm for the fiscal year ending December 31, 2026. </w:t>
      </w:r>
    </w:p>
    <w:p>
      <w:pPr>
        <w:pStyle w:val="TextBody"/>
        <w:bidi w:val="0"/>
        <w:spacing w:before="240" w:after="0"/>
        <w:jc w:val="center"/>
        <w:rPr>
          <w:rFonts w:ascii="ARIAL" w:hAnsi="ARIAL"/>
          <w:b/>
          <w:sz w:val="22"/>
          <w:u w:val="single"/>
        </w:rPr>
      </w:pPr>
      <w:r>
        <w:rPr>
          <w:rFonts w:ascii="ARIAL" w:hAnsi="ARIAL"/>
          <w:b/>
          <w:sz w:val="22"/>
          <w:u w:val="single"/>
        </w:rPr>
        <w:t xml:space="preserve">Fees of Independent Registered Public Accounting Firm for 2025 and 2024 </w:t>
      </w:r>
    </w:p>
    <w:p>
      <w:pPr>
        <w:pStyle w:val="TextBody"/>
        <w:bidi w:val="0"/>
        <w:spacing w:before="240" w:after="0"/>
        <w:jc w:val="both"/>
        <w:rPr>
          <w:rFonts w:ascii="ARIAL" w:hAnsi="ARIAL"/>
          <w:sz w:val="22"/>
        </w:rPr>
      </w:pPr>
      <w:r>
        <w:rPr>
          <w:rFonts w:ascii="ARIAL" w:hAnsi="ARIAL"/>
          <w:sz w:val="22"/>
        </w:rPr>
        <w:t xml:space="preserve">The following table sets forth the amount of audit fees, audit-related fees, tax fees, and all other fees billed for services by PwC for the fiscal years 2025 and 2024. All audit and non-audit services provided to the Company by the independent registered public accounting firm are pre-approved by the Audit Committee, and the Audit Committee considers the provision of such non-audit services when evaluating the accounting firm’s independence. </w:t>
      </w:r>
    </w:p>
    <w:p>
      <w:pPr>
        <w:pStyle w:val="TextBody"/>
        <w:bidi w:val="0"/>
        <w:spacing w:before="0" w:after="0"/>
        <w:jc w:val="left"/>
        <w:rPr/>
      </w:pPr>
      <w:r>
        <w:rPr/>
        <w:t> </w:t>
      </w:r>
    </w:p>
    <w:tbl>
      <w:tblPr>
        <w:tblW w:w="7310" w:type="dxa"/>
        <w:jc w:val="left"/>
        <w:tblInd w:w="0" w:type="dxa"/>
        <w:tblLayout w:type="fixed"/>
        <w:tblCellMar>
          <w:top w:w="0" w:type="dxa"/>
          <w:left w:w="0" w:type="dxa"/>
          <w:bottom w:w="0" w:type="dxa"/>
          <w:right w:w="0" w:type="dxa"/>
        </w:tblCellMar>
      </w:tblPr>
      <w:tblGrid>
        <w:gridCol w:w="2315"/>
        <w:gridCol w:w="120"/>
        <w:gridCol w:w="236"/>
        <w:gridCol w:w="1734"/>
        <w:gridCol w:w="60"/>
        <w:gridCol w:w="120"/>
        <w:gridCol w:w="250"/>
        <w:gridCol w:w="250"/>
        <w:gridCol w:w="60"/>
        <w:gridCol w:w="120"/>
        <w:gridCol w:w="236"/>
        <w:gridCol w:w="1734"/>
        <w:gridCol w:w="75"/>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15" w:type="dxa"/>
            <w:tcBorders>
              <w:bottom w:val="single" w:sz="6" w:space="0" w:color="000000"/>
            </w:tcBorders>
            <w:tcMar>
              <w:bottom w:w="40" w:type="dxa"/>
            </w:tcMar>
            <w:vAlign w:val="center"/>
          </w:tcPr>
          <w:p>
            <w:pPr>
              <w:pStyle w:val="TableContents"/>
              <w:bidi w:val="0"/>
              <w:spacing w:before="0" w:after="283"/>
              <w:jc w:val="left"/>
              <w:rPr/>
            </w:pPr>
            <w:r>
              <w:rPr/>
              <w:t> </w:t>
            </w:r>
            <w:r>
              <w:rPr>
                <w:b/>
              </w:rPr>
              <w:t>Description of Fees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Amount of Fees</w:t>
              <w:br/>
              <w:t>in Fiscal Year 2025</w:t>
              <w:br/>
              <w:t>(In millions)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6" w:space="0" w:color="000000"/>
            </w:tcBorders>
            <w:tcMar>
              <w:bottom w:w="40"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Amount of Fees</w:t>
              <w:br/>
              <w:t>in Fiscal Year 2024</w:t>
              <w:br/>
              <w:t>(In millions)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1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6" w:type="dxa"/>
            <w:tcBorders>
              <w:bottom w:val="single" w:sz="6" w:space="0" w:color="000000"/>
            </w:tcBorders>
            <w:tcMar>
              <w:bottom w:w="28" w:type="dxa"/>
            </w:tcMar>
            <w:vAlign w:val="center"/>
          </w:tcPr>
          <w:p>
            <w:pPr>
              <w:pStyle w:val="TableContents"/>
              <w:bidi w:val="0"/>
              <w:spacing w:before="0" w:after="283"/>
              <w:jc w:val="left"/>
              <w:rPr/>
            </w:pPr>
            <w:r>
              <w:rPr/>
              <w:t> </w:t>
            </w:r>
          </w:p>
        </w:tc>
        <w:tc>
          <w:tcPr>
            <w:tcW w:w="1734"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50" w:type="dxa"/>
            <w:tcBorders>
              <w:bottom w:val="single" w:sz="6" w:space="0" w:color="000000"/>
            </w:tcBorders>
            <w:tcMar>
              <w:bottom w:w="28" w:type="dxa"/>
            </w:tcMar>
            <w:vAlign w:val="center"/>
          </w:tcPr>
          <w:p>
            <w:pPr>
              <w:pStyle w:val="TableContents"/>
              <w:bidi w:val="0"/>
              <w:spacing w:before="0" w:after="283"/>
              <w:jc w:val="left"/>
              <w:rPr/>
            </w:pPr>
            <w:r>
              <w:rPr/>
              <w:t> </w:t>
            </w:r>
          </w:p>
        </w:tc>
        <w:tc>
          <w:tcPr>
            <w:tcW w:w="2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6" w:type="dxa"/>
            <w:tcBorders>
              <w:bottom w:val="single" w:sz="6" w:space="0" w:color="000000"/>
            </w:tcBorders>
            <w:tcMar>
              <w:bottom w:w="28" w:type="dxa"/>
            </w:tcMar>
            <w:vAlign w:val="center"/>
          </w:tcPr>
          <w:p>
            <w:pPr>
              <w:pStyle w:val="TableContents"/>
              <w:bidi w:val="0"/>
              <w:spacing w:before="0" w:after="283"/>
              <w:jc w:val="left"/>
              <w:rPr/>
            </w:pPr>
            <w:r>
              <w:rPr/>
              <w:t> </w:t>
            </w:r>
          </w:p>
        </w:tc>
        <w:tc>
          <w:tcPr>
            <w:tcW w:w="1734"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15" w:type="dxa"/>
            <w:tcBorders/>
            <w:shd w:fill="D5EBF6" w:val="clear"/>
            <w:vAlign w:val="center"/>
          </w:tcPr>
          <w:p>
            <w:pPr>
              <w:pStyle w:val="TableContents"/>
              <w:bidi w:val="0"/>
              <w:spacing w:before="0" w:after="283"/>
              <w:jc w:val="left"/>
              <w:rPr>
                <w:sz w:val="4"/>
                <w:szCs w:val="4"/>
              </w:rPr>
            </w:pPr>
            <w:r>
              <w:rPr>
                <w:sz w:val="4"/>
                <w:szCs w:val="4"/>
              </w:rPr>
            </w:r>
          </w:p>
        </w:tc>
        <w:tc>
          <w:tcPr>
            <w:tcW w:w="2150" w:type="dxa"/>
            <w:gridSpan w:val="4"/>
            <w:tcBorders/>
            <w:shd w:fill="D5EBF6" w:val="clear"/>
            <w:vAlign w:val="center"/>
          </w:tcPr>
          <w:p>
            <w:pPr>
              <w:pStyle w:val="TableContents"/>
              <w:bidi w:val="0"/>
              <w:spacing w:before="0" w:after="283"/>
              <w:jc w:val="left"/>
              <w:rPr>
                <w:sz w:val="4"/>
                <w:szCs w:val="4"/>
              </w:rPr>
            </w:pPr>
            <w:r>
              <w:rPr>
                <w:sz w:val="4"/>
                <w:szCs w:val="4"/>
              </w:rPr>
            </w:r>
          </w:p>
        </w:tc>
        <w:tc>
          <w:tcPr>
            <w:tcW w:w="680" w:type="dxa"/>
            <w:gridSpan w:val="4"/>
            <w:tcBorders/>
            <w:shd w:fill="D5EBF6" w:val="clear"/>
            <w:vAlign w:val="center"/>
          </w:tcPr>
          <w:p>
            <w:pPr>
              <w:pStyle w:val="TableContents"/>
              <w:bidi w:val="0"/>
              <w:spacing w:before="0" w:after="283"/>
              <w:jc w:val="left"/>
              <w:rPr>
                <w:sz w:val="4"/>
                <w:szCs w:val="4"/>
              </w:rPr>
            </w:pPr>
            <w:r>
              <w:rPr>
                <w:sz w:val="4"/>
                <w:szCs w:val="4"/>
              </w:rPr>
            </w:r>
          </w:p>
        </w:tc>
        <w:tc>
          <w:tcPr>
            <w:tcW w:w="216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315" w:type="dxa"/>
            <w:tcBorders/>
            <w:shd w:fill="D5EBF6" w:val="clear"/>
            <w:vAlign w:val="center"/>
          </w:tcPr>
          <w:p>
            <w:pPr>
              <w:pStyle w:val="TableContents"/>
              <w:bidi w:val="0"/>
              <w:spacing w:before="0" w:after="283"/>
              <w:jc w:val="left"/>
              <w:rPr/>
            </w:pPr>
            <w:r>
              <w:rPr/>
              <w:t> </w:t>
            </w:r>
            <w:r>
              <w:rPr/>
              <w:t>Audit Fees (1)</w:t>
            </w:r>
          </w:p>
        </w:tc>
        <w:tc>
          <w:tcPr>
            <w:tcW w:w="120" w:type="dxa"/>
            <w:tcBorders/>
            <w:shd w:fill="D5EBF6" w:val="clear"/>
            <w:vAlign w:val="center"/>
          </w:tcPr>
          <w:p>
            <w:pPr>
              <w:pStyle w:val="TableContents"/>
              <w:bidi w:val="0"/>
              <w:spacing w:before="0" w:after="283"/>
              <w:jc w:val="left"/>
              <w:rPr/>
            </w:pPr>
            <w:r>
              <w:rPr/>
              <w:t>  </w:t>
            </w:r>
          </w:p>
        </w:tc>
        <w:tc>
          <w:tcPr>
            <w:tcW w:w="236" w:type="dxa"/>
            <w:tcBorders/>
            <w:shd w:fill="D5EBF6" w:val="clear"/>
            <w:vAlign w:val="center"/>
          </w:tcPr>
          <w:p>
            <w:pPr>
              <w:pStyle w:val="TableContents"/>
              <w:bidi w:val="0"/>
              <w:spacing w:before="0" w:after="283"/>
              <w:jc w:val="left"/>
              <w:rPr/>
            </w:pPr>
            <w:r>
              <w:rPr/>
              <w:t> </w:t>
            </w:r>
          </w:p>
        </w:tc>
        <w:tc>
          <w:tcPr>
            <w:tcW w:w="1734" w:type="dxa"/>
            <w:tcBorders/>
            <w:shd w:fill="D5EBF6" w:val="clear"/>
            <w:vAlign w:val="center"/>
          </w:tcPr>
          <w:p>
            <w:pPr>
              <w:pStyle w:val="TableContents"/>
              <w:bidi w:val="0"/>
              <w:spacing w:before="0" w:after="283"/>
              <w:jc w:val="center"/>
              <w:rPr/>
            </w:pPr>
            <w:r>
              <w:rPr/>
              <w:t>$8.1</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250" w:type="dxa"/>
            <w:tcBorders/>
            <w:shd w:fill="D5EBF6" w:val="clear"/>
            <w:vAlign w:val="center"/>
          </w:tcPr>
          <w:p>
            <w:pPr>
              <w:pStyle w:val="TableContents"/>
              <w:bidi w:val="0"/>
              <w:spacing w:before="0" w:after="0"/>
              <w:jc w:val="left"/>
              <w:rPr/>
            </w:pPr>
            <w:r>
              <w:rPr/>
              <w:t> </w:t>
            </w:r>
          </w:p>
        </w:tc>
        <w:tc>
          <w:tcPr>
            <w:tcW w:w="250" w:type="dxa"/>
            <w:tcBorders/>
            <w:shd w:fill="D5EBF6" w:val="clear"/>
            <w:vAlign w:val="center"/>
          </w:tcPr>
          <w:p>
            <w:pPr>
              <w:pStyle w:val="TableContents"/>
              <w:bidi w:val="0"/>
              <w:spacing w:before="0" w:after="0"/>
              <w:jc w:val="left"/>
              <w:rPr/>
            </w:pPr>
            <w:r>
              <w:rPr/>
              <w:t> </w:t>
            </w:r>
          </w:p>
        </w:tc>
        <w:tc>
          <w:tcPr>
            <w:tcW w:w="60" w:type="dxa"/>
            <w:tcBorders/>
            <w:shd w:fill="D5EBF6" w:val="clear"/>
            <w:vAlign w:val="center"/>
          </w:tcPr>
          <w:p>
            <w:pPr>
              <w:pStyle w:val="TableContents"/>
              <w:bidi w:val="0"/>
              <w:spacing w:before="0" w:after="0"/>
              <w:jc w:val="left"/>
              <w:rPr/>
            </w:pPr>
            <w:r>
              <w:rPr/>
              <w:t> </w:t>
            </w:r>
          </w:p>
        </w:tc>
        <w:tc>
          <w:tcPr>
            <w:tcW w:w="120" w:type="dxa"/>
            <w:tcBorders/>
            <w:shd w:fill="D5EBF6" w:val="clear"/>
            <w:vAlign w:val="center"/>
          </w:tcPr>
          <w:p>
            <w:pPr>
              <w:pStyle w:val="TableContents"/>
              <w:bidi w:val="0"/>
              <w:spacing w:before="0" w:after="283"/>
              <w:jc w:val="left"/>
              <w:rPr/>
            </w:pPr>
            <w:r>
              <w:rPr/>
              <w:t>  </w:t>
            </w:r>
          </w:p>
        </w:tc>
        <w:tc>
          <w:tcPr>
            <w:tcW w:w="236" w:type="dxa"/>
            <w:tcBorders/>
            <w:shd w:fill="D5EBF6" w:val="clear"/>
            <w:vAlign w:val="center"/>
          </w:tcPr>
          <w:p>
            <w:pPr>
              <w:pStyle w:val="TableContents"/>
              <w:bidi w:val="0"/>
              <w:spacing w:before="0" w:after="283"/>
              <w:jc w:val="left"/>
              <w:rPr/>
            </w:pPr>
            <w:r>
              <w:rPr/>
              <w:t> </w:t>
            </w:r>
          </w:p>
        </w:tc>
        <w:tc>
          <w:tcPr>
            <w:tcW w:w="1734" w:type="dxa"/>
            <w:tcBorders/>
            <w:shd w:fill="D5EBF6" w:val="clear"/>
            <w:vAlign w:val="center"/>
          </w:tcPr>
          <w:p>
            <w:pPr>
              <w:pStyle w:val="TableContents"/>
              <w:bidi w:val="0"/>
              <w:spacing w:before="0" w:after="283"/>
              <w:jc w:val="center"/>
              <w:rPr/>
            </w:pPr>
            <w:r>
              <w:rPr/>
              <w:t>$9.1</w:t>
            </w:r>
          </w:p>
        </w:tc>
        <w:tc>
          <w:tcPr>
            <w:tcW w:w="75" w:type="dxa"/>
            <w:tcBorders/>
            <w:shd w:fill="D5EBF6"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 </w:t>
            </w:r>
            <w:r>
              <w:rPr/>
              <w:t>Audit-Related Fees (2)</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center"/>
              <w:rPr/>
            </w:pPr>
            <w:r>
              <w:rPr/>
              <w:t>$0.1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center"/>
              <w:rPr/>
            </w:pPr>
            <w:r>
              <w:rPr/>
              <w:t>$0.1</w:t>
            </w:r>
          </w:p>
        </w:tc>
        <w:tc>
          <w:tcPr>
            <w:tcW w:w="75" w:type="dxa"/>
            <w:tcBorders/>
            <w:vAlign w:val="center"/>
          </w:tcPr>
          <w:p>
            <w:pPr>
              <w:pStyle w:val="TableContents"/>
              <w:bidi w:val="0"/>
              <w:spacing w:before="0" w:after="283"/>
              <w:jc w:val="left"/>
              <w:rPr/>
            </w:pPr>
            <w:r>
              <w:rPr/>
              <w:t> </w:t>
            </w:r>
          </w:p>
        </w:tc>
      </w:tr>
      <w:tr>
        <w:trPr/>
        <w:tc>
          <w:tcPr>
            <w:tcW w:w="2315" w:type="dxa"/>
            <w:tcBorders/>
            <w:shd w:fill="D5EBF6" w:val="clear"/>
            <w:vAlign w:val="center"/>
          </w:tcPr>
          <w:p>
            <w:pPr>
              <w:pStyle w:val="TableContents"/>
              <w:bidi w:val="0"/>
              <w:spacing w:before="0" w:after="283"/>
              <w:jc w:val="left"/>
              <w:rPr>
                <w:sz w:val="4"/>
                <w:szCs w:val="4"/>
              </w:rPr>
            </w:pPr>
            <w:r>
              <w:rPr>
                <w:sz w:val="4"/>
                <w:szCs w:val="4"/>
              </w:rPr>
            </w:r>
          </w:p>
        </w:tc>
        <w:tc>
          <w:tcPr>
            <w:tcW w:w="2150" w:type="dxa"/>
            <w:gridSpan w:val="4"/>
            <w:tcBorders/>
            <w:shd w:fill="D5EBF6" w:val="clear"/>
            <w:vAlign w:val="center"/>
          </w:tcPr>
          <w:p>
            <w:pPr>
              <w:pStyle w:val="TableContents"/>
              <w:bidi w:val="0"/>
              <w:spacing w:before="0" w:after="283"/>
              <w:jc w:val="left"/>
              <w:rPr>
                <w:sz w:val="4"/>
                <w:szCs w:val="4"/>
              </w:rPr>
            </w:pPr>
            <w:r>
              <w:rPr>
                <w:sz w:val="4"/>
                <w:szCs w:val="4"/>
              </w:rPr>
            </w:r>
          </w:p>
        </w:tc>
        <w:tc>
          <w:tcPr>
            <w:tcW w:w="680" w:type="dxa"/>
            <w:gridSpan w:val="4"/>
            <w:tcBorders/>
            <w:shd w:fill="D5EBF6" w:val="clear"/>
            <w:vAlign w:val="center"/>
          </w:tcPr>
          <w:p>
            <w:pPr>
              <w:pStyle w:val="TableContents"/>
              <w:bidi w:val="0"/>
              <w:spacing w:before="0" w:after="283"/>
              <w:jc w:val="left"/>
              <w:rPr>
                <w:sz w:val="4"/>
                <w:szCs w:val="4"/>
              </w:rPr>
            </w:pPr>
            <w:r>
              <w:rPr>
                <w:sz w:val="4"/>
                <w:szCs w:val="4"/>
              </w:rPr>
            </w:r>
          </w:p>
        </w:tc>
        <w:tc>
          <w:tcPr>
            <w:tcW w:w="216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2315" w:type="dxa"/>
            <w:tcBorders/>
            <w:shd w:fill="D5EBF6" w:val="clear"/>
            <w:vAlign w:val="center"/>
          </w:tcPr>
          <w:p>
            <w:pPr>
              <w:pStyle w:val="TableContents"/>
              <w:bidi w:val="0"/>
              <w:spacing w:before="0" w:after="283"/>
              <w:jc w:val="left"/>
              <w:rPr/>
            </w:pPr>
            <w:r>
              <w:rPr/>
              <w:t> </w:t>
            </w:r>
            <w:r>
              <w:rPr/>
              <w:t>Tax Fees (3)</w:t>
            </w:r>
          </w:p>
        </w:tc>
        <w:tc>
          <w:tcPr>
            <w:tcW w:w="120" w:type="dxa"/>
            <w:tcBorders/>
            <w:shd w:fill="D5EBF6" w:val="clear"/>
            <w:vAlign w:val="center"/>
          </w:tcPr>
          <w:p>
            <w:pPr>
              <w:pStyle w:val="TableContents"/>
              <w:bidi w:val="0"/>
              <w:spacing w:before="0" w:after="283"/>
              <w:jc w:val="left"/>
              <w:rPr/>
            </w:pPr>
            <w:r>
              <w:rPr/>
              <w:t>  </w:t>
            </w:r>
          </w:p>
        </w:tc>
        <w:tc>
          <w:tcPr>
            <w:tcW w:w="236" w:type="dxa"/>
            <w:tcBorders/>
            <w:shd w:fill="D5EBF6" w:val="clear"/>
            <w:vAlign w:val="center"/>
          </w:tcPr>
          <w:p>
            <w:pPr>
              <w:pStyle w:val="TableContents"/>
              <w:bidi w:val="0"/>
              <w:spacing w:before="0" w:after="283"/>
              <w:jc w:val="left"/>
              <w:rPr/>
            </w:pPr>
            <w:r>
              <w:rPr/>
              <w:t> </w:t>
            </w:r>
          </w:p>
        </w:tc>
        <w:tc>
          <w:tcPr>
            <w:tcW w:w="1734" w:type="dxa"/>
            <w:tcBorders/>
            <w:shd w:fill="D5EBF6" w:val="clear"/>
            <w:vAlign w:val="center"/>
          </w:tcPr>
          <w:p>
            <w:pPr>
              <w:pStyle w:val="TableContents"/>
              <w:bidi w:val="0"/>
              <w:spacing w:before="0" w:after="283"/>
              <w:jc w:val="center"/>
              <w:rPr/>
            </w:pPr>
            <w:r>
              <w:rPr/>
              <w:t>$2.3</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250" w:type="dxa"/>
            <w:tcBorders/>
            <w:shd w:fill="D5EBF6" w:val="clear"/>
            <w:vAlign w:val="center"/>
          </w:tcPr>
          <w:p>
            <w:pPr>
              <w:pStyle w:val="TableContents"/>
              <w:bidi w:val="0"/>
              <w:spacing w:before="0" w:after="0"/>
              <w:jc w:val="left"/>
              <w:rPr/>
            </w:pPr>
            <w:r>
              <w:rPr/>
              <w:t> </w:t>
            </w:r>
          </w:p>
        </w:tc>
        <w:tc>
          <w:tcPr>
            <w:tcW w:w="250" w:type="dxa"/>
            <w:tcBorders/>
            <w:shd w:fill="D5EBF6" w:val="clear"/>
            <w:vAlign w:val="center"/>
          </w:tcPr>
          <w:p>
            <w:pPr>
              <w:pStyle w:val="TableContents"/>
              <w:bidi w:val="0"/>
              <w:spacing w:before="0" w:after="0"/>
              <w:jc w:val="left"/>
              <w:rPr/>
            </w:pPr>
            <w:r>
              <w:rPr/>
              <w:t> </w:t>
            </w:r>
          </w:p>
        </w:tc>
        <w:tc>
          <w:tcPr>
            <w:tcW w:w="60" w:type="dxa"/>
            <w:tcBorders/>
            <w:shd w:fill="D5EBF6" w:val="clear"/>
            <w:vAlign w:val="center"/>
          </w:tcPr>
          <w:p>
            <w:pPr>
              <w:pStyle w:val="TableContents"/>
              <w:bidi w:val="0"/>
              <w:spacing w:before="0" w:after="0"/>
              <w:jc w:val="left"/>
              <w:rPr/>
            </w:pPr>
            <w:r>
              <w:rPr/>
              <w:t> </w:t>
            </w:r>
          </w:p>
        </w:tc>
        <w:tc>
          <w:tcPr>
            <w:tcW w:w="120" w:type="dxa"/>
            <w:tcBorders/>
            <w:shd w:fill="D5EBF6" w:val="clear"/>
            <w:vAlign w:val="center"/>
          </w:tcPr>
          <w:p>
            <w:pPr>
              <w:pStyle w:val="TableContents"/>
              <w:bidi w:val="0"/>
              <w:spacing w:before="0" w:after="283"/>
              <w:jc w:val="left"/>
              <w:rPr/>
            </w:pPr>
            <w:r>
              <w:rPr/>
              <w:t>  </w:t>
            </w:r>
          </w:p>
        </w:tc>
        <w:tc>
          <w:tcPr>
            <w:tcW w:w="236" w:type="dxa"/>
            <w:tcBorders/>
            <w:shd w:fill="D5EBF6" w:val="clear"/>
            <w:vAlign w:val="center"/>
          </w:tcPr>
          <w:p>
            <w:pPr>
              <w:pStyle w:val="TableContents"/>
              <w:bidi w:val="0"/>
              <w:spacing w:before="0" w:after="283"/>
              <w:jc w:val="left"/>
              <w:rPr/>
            </w:pPr>
            <w:r>
              <w:rPr/>
              <w:t> </w:t>
            </w:r>
          </w:p>
        </w:tc>
        <w:tc>
          <w:tcPr>
            <w:tcW w:w="1734" w:type="dxa"/>
            <w:tcBorders/>
            <w:shd w:fill="D5EBF6" w:val="clear"/>
            <w:vAlign w:val="center"/>
          </w:tcPr>
          <w:p>
            <w:pPr>
              <w:pStyle w:val="TableContents"/>
              <w:bidi w:val="0"/>
              <w:spacing w:before="0" w:after="283"/>
              <w:jc w:val="center"/>
              <w:rPr/>
            </w:pPr>
            <w:r>
              <w:rPr/>
              <w:t>$2.1</w:t>
            </w:r>
          </w:p>
        </w:tc>
        <w:tc>
          <w:tcPr>
            <w:tcW w:w="75" w:type="dxa"/>
            <w:tcBorders/>
            <w:shd w:fill="D5EBF6"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r>
      <w:tr>
        <w:trPr/>
        <w:tc>
          <w:tcPr>
            <w:tcW w:w="2315" w:type="dxa"/>
            <w:tcBorders>
              <w:bottom w:val="single" w:sz="6" w:space="0" w:color="000000"/>
            </w:tcBorders>
            <w:tcMar>
              <w:bottom w:w="40" w:type="dxa"/>
            </w:tcMar>
            <w:vAlign w:val="center"/>
          </w:tcPr>
          <w:p>
            <w:pPr>
              <w:pStyle w:val="TableContents"/>
              <w:bidi w:val="0"/>
              <w:spacing w:before="0" w:after="283"/>
              <w:jc w:val="left"/>
              <w:rPr/>
            </w:pPr>
            <w:r>
              <w:rPr/>
              <w:t> </w:t>
            </w:r>
            <w:r>
              <w:rPr/>
              <w:t>All Other Fees (4)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6" w:type="dxa"/>
            <w:tcBorders>
              <w:bottom w:val="single" w:sz="6" w:space="0" w:color="000000"/>
            </w:tcBorders>
            <w:tcMar>
              <w:bottom w:w="40" w:type="dxa"/>
            </w:tcMar>
            <w:vAlign w:val="center"/>
          </w:tcPr>
          <w:p>
            <w:pPr>
              <w:pStyle w:val="TableContents"/>
              <w:bidi w:val="0"/>
              <w:spacing w:before="0" w:after="283"/>
              <w:jc w:val="left"/>
              <w:rPr/>
            </w:pPr>
            <w:r>
              <w:rPr/>
              <w:t> </w:t>
            </w:r>
          </w:p>
        </w:tc>
        <w:tc>
          <w:tcPr>
            <w:tcW w:w="1734" w:type="dxa"/>
            <w:tcBorders>
              <w:bottom w:val="single" w:sz="6" w:space="0" w:color="000000"/>
            </w:tcBorders>
            <w:tcMar>
              <w:bottom w:w="40" w:type="dxa"/>
            </w:tcMar>
            <w:vAlign w:val="center"/>
          </w:tcPr>
          <w:p>
            <w:pPr>
              <w:pStyle w:val="TableContents"/>
              <w:bidi w:val="0"/>
              <w:spacing w:before="0" w:after="283"/>
              <w:jc w:val="center"/>
              <w:rPr/>
            </w:pPr>
            <w:r>
              <w:rPr/>
              <w:t>$0.1</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5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5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6" w:type="dxa"/>
            <w:tcBorders>
              <w:bottom w:val="single" w:sz="6" w:space="0" w:color="000000"/>
            </w:tcBorders>
            <w:tcMar>
              <w:bottom w:w="40" w:type="dxa"/>
            </w:tcMar>
            <w:vAlign w:val="center"/>
          </w:tcPr>
          <w:p>
            <w:pPr>
              <w:pStyle w:val="TableContents"/>
              <w:bidi w:val="0"/>
              <w:spacing w:before="0" w:after="283"/>
              <w:jc w:val="left"/>
              <w:rPr/>
            </w:pPr>
            <w:r>
              <w:rPr/>
              <w:t> </w:t>
            </w:r>
          </w:p>
        </w:tc>
        <w:tc>
          <w:tcPr>
            <w:tcW w:w="1734" w:type="dxa"/>
            <w:tcBorders>
              <w:bottom w:val="single" w:sz="6" w:space="0" w:color="000000"/>
            </w:tcBorders>
            <w:tcMar>
              <w:bottom w:w="40" w:type="dxa"/>
            </w:tcMar>
            <w:vAlign w:val="center"/>
          </w:tcPr>
          <w:p>
            <w:pPr>
              <w:pStyle w:val="TableContents"/>
              <w:bidi w:val="0"/>
              <w:spacing w:before="0" w:after="283"/>
              <w:jc w:val="center"/>
              <w:rPr/>
            </w:pPr>
            <w:r>
              <w:rPr/>
              <w:t>$0.0</w:t>
            </w:r>
          </w:p>
        </w:tc>
        <w:tc>
          <w:tcPr>
            <w:tcW w:w="75"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231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6" w:type="dxa"/>
            <w:tcBorders>
              <w:bottom w:val="single" w:sz="6" w:space="0" w:color="000000"/>
            </w:tcBorders>
            <w:tcMar>
              <w:bottom w:w="28" w:type="dxa"/>
            </w:tcMar>
            <w:vAlign w:val="center"/>
          </w:tcPr>
          <w:p>
            <w:pPr>
              <w:pStyle w:val="TableContents"/>
              <w:bidi w:val="0"/>
              <w:spacing w:before="0" w:after="283"/>
              <w:jc w:val="left"/>
              <w:rPr/>
            </w:pPr>
            <w:r>
              <w:rPr/>
              <w:t> </w:t>
            </w:r>
          </w:p>
        </w:tc>
        <w:tc>
          <w:tcPr>
            <w:tcW w:w="1734"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50" w:type="dxa"/>
            <w:tcBorders>
              <w:bottom w:val="single" w:sz="6" w:space="0" w:color="000000"/>
            </w:tcBorders>
            <w:tcMar>
              <w:bottom w:w="28" w:type="dxa"/>
            </w:tcMar>
            <w:vAlign w:val="center"/>
          </w:tcPr>
          <w:p>
            <w:pPr>
              <w:pStyle w:val="TableContents"/>
              <w:bidi w:val="0"/>
              <w:spacing w:before="0" w:after="283"/>
              <w:jc w:val="left"/>
              <w:rPr/>
            </w:pPr>
            <w:r>
              <w:rPr/>
              <w:t> </w:t>
            </w:r>
          </w:p>
        </w:tc>
        <w:tc>
          <w:tcPr>
            <w:tcW w:w="2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6" w:type="dxa"/>
            <w:tcBorders>
              <w:bottom w:val="single" w:sz="6" w:space="0" w:color="000000"/>
            </w:tcBorders>
            <w:tcMar>
              <w:bottom w:w="28" w:type="dxa"/>
            </w:tcMar>
            <w:vAlign w:val="center"/>
          </w:tcPr>
          <w:p>
            <w:pPr>
              <w:pStyle w:val="TableContents"/>
              <w:bidi w:val="0"/>
              <w:spacing w:before="0" w:after="283"/>
              <w:jc w:val="left"/>
              <w:rPr/>
            </w:pPr>
            <w:r>
              <w:rPr/>
              <w:t> </w:t>
            </w:r>
          </w:p>
        </w:tc>
        <w:tc>
          <w:tcPr>
            <w:tcW w:w="1734"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ARIAL" w:hAnsi="ARIAL"/>
                <w:sz w:val="18"/>
              </w:rPr>
            </w:pPr>
            <w:r>
              <w:rPr>
                <w:rFonts w:ascii="ARIAL" w:hAnsi="ARIAL"/>
                <w:sz w:val="18"/>
              </w:rPr>
              <w:t xml:space="preserve">Includes fees for professional services rendered for the audits of the Company’s annual consolidated financial statements and internal control over financial reporting, reviews of the consolidated financial statements included in the Company’s Quarterly Reports on Form 10-Q, issuances of comfort letters and consents for securities offerings, statutory audits required internationally and for other services that only the Company’s independent registered public accounting firm can reasonably provide.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both"/>
              <w:rPr>
                <w:rFonts w:ascii="ARIAL" w:hAnsi="ARIAL"/>
                <w:sz w:val="18"/>
              </w:rPr>
            </w:pPr>
            <w:r>
              <w:rPr>
                <w:rFonts w:ascii="ARIAL" w:hAnsi="ARIAL"/>
                <w:sz w:val="18"/>
              </w:rPr>
              <w:t xml:space="preserve">Includes fees for professional services rendered related primarily to accounting consultations and procedures related to various other audit and special reports.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305"/>
        <w:gridCol w:w="7775"/>
      </w:tblGrid>
      <w:tr>
        <w:trPr/>
        <w:tc>
          <w:tcPr>
            <w:tcW w:w="305" w:type="dxa"/>
            <w:tcBorders/>
            <w:vAlign w:val="center"/>
          </w:tcPr>
          <w:p>
            <w:pPr>
              <w:pStyle w:val="TableContents"/>
              <w:bidi w:val="0"/>
              <w:spacing w:before="0" w:after="283"/>
              <w:jc w:val="left"/>
              <w:rPr/>
            </w:pPr>
            <w:r>
              <w:rPr/>
              <w:t>(3)</w:t>
            </w:r>
          </w:p>
        </w:tc>
        <w:tc>
          <w:tcPr>
            <w:tcW w:w="7775" w:type="dxa"/>
            <w:tcBorders/>
            <w:vAlign w:val="center"/>
          </w:tcPr>
          <w:p>
            <w:pPr>
              <w:pStyle w:val="TableContents"/>
              <w:bidi w:val="0"/>
              <w:spacing w:before="0" w:after="0"/>
              <w:jc w:val="both"/>
              <w:rPr>
                <w:rFonts w:ascii="ARIAL" w:hAnsi="ARIAL"/>
                <w:sz w:val="18"/>
              </w:rPr>
            </w:pPr>
            <w:r>
              <w:rPr>
                <w:rFonts w:ascii="ARIAL" w:hAnsi="ARIAL"/>
                <w:sz w:val="18"/>
              </w:rPr>
              <w:t xml:space="preserve">Includes fees for professional services in connection with tax compliance, planning and advice.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305"/>
        <w:gridCol w:w="8720"/>
      </w:tblGrid>
      <w:tr>
        <w:trPr/>
        <w:tc>
          <w:tcPr>
            <w:tcW w:w="305" w:type="dxa"/>
            <w:tcBorders/>
            <w:vAlign w:val="center"/>
          </w:tcPr>
          <w:p>
            <w:pPr>
              <w:pStyle w:val="TableContents"/>
              <w:bidi w:val="0"/>
              <w:spacing w:before="0" w:after="283"/>
              <w:jc w:val="left"/>
              <w:rPr/>
            </w:pPr>
            <w:r>
              <w:rPr/>
              <w:t>(4)</w:t>
            </w:r>
          </w:p>
        </w:tc>
        <w:tc>
          <w:tcPr>
            <w:tcW w:w="8720" w:type="dxa"/>
            <w:tcBorders/>
            <w:vAlign w:val="center"/>
          </w:tcPr>
          <w:p>
            <w:pPr>
              <w:pStyle w:val="TableContents"/>
              <w:bidi w:val="0"/>
              <w:spacing w:before="0" w:after="0"/>
              <w:jc w:val="both"/>
              <w:rPr>
                <w:rFonts w:ascii="ARIAL" w:hAnsi="ARIAL"/>
                <w:sz w:val="18"/>
              </w:rPr>
            </w:pPr>
            <w:r>
              <w:rPr>
                <w:rFonts w:ascii="ARIAL" w:hAnsi="ARIAL"/>
                <w:sz w:val="18"/>
              </w:rPr>
              <w:t xml:space="preserve">Includes fees for advisory services, as well as software license fees related to research and benchmarking.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color w:val="248EC3"/>
          <w:sz w:val="22"/>
        </w:rPr>
      </w:pPr>
      <w:bookmarkStart w:id="14" w:name="toc52719_12"/>
      <w:bookmarkEnd w:id="14"/>
      <w:r>
        <w:rPr>
          <w:rFonts w:ascii="ARIAL" w:hAnsi="ARIAL"/>
          <w:b/>
          <w:color w:val="248EC3"/>
          <w:sz w:val="22"/>
        </w:rPr>
        <w:t xml:space="preserve">PROPOSAL 3 </w:t>
      </w:r>
      <w:r>
        <w:rPr>
          <w:rFonts w:ascii="ARIAL" w:hAnsi="ARIAL"/>
          <w:b/>
          <w:i/>
          <w:color w:val="248EC3"/>
          <w:sz w:val="22"/>
        </w:rPr>
        <w:t>-</w:t>
      </w:r>
      <w:r>
        <w:rPr>
          <w:rFonts w:ascii="ARIAL" w:hAnsi="ARIAL"/>
          <w:color w:val="248EC3"/>
          <w:sz w:val="22"/>
        </w:rPr>
        <w:t> </w:t>
      </w:r>
      <w:r>
        <w:rPr>
          <w:rFonts w:ascii="ARIAL" w:hAnsi="ARIAL"/>
          <w:b/>
          <w:color w:val="248EC3"/>
          <w:sz w:val="22"/>
        </w:rPr>
        <w:t xml:space="preserve">APPROVAL OF AN ADVISORY RESOLUTION  </w:t>
      </w:r>
    </w:p>
    <w:p>
      <w:pPr>
        <w:pStyle w:val="TextBody"/>
        <w:bidi w:val="0"/>
        <w:spacing w:before="0" w:after="0"/>
        <w:jc w:val="center"/>
        <w:rPr>
          <w:rFonts w:ascii="ARIAL" w:hAnsi="ARIAL"/>
          <w:b/>
          <w:color w:val="248EC3"/>
          <w:sz w:val="22"/>
        </w:rPr>
      </w:pPr>
      <w:r>
        <w:rPr>
          <w:rFonts w:ascii="ARIAL" w:hAnsi="ARIAL"/>
          <w:b/>
          <w:color w:val="248EC3"/>
          <w:sz w:val="22"/>
        </w:rPr>
        <w:t xml:space="preserve">ON NAMED EXECUTIVE OFFICER COMPENSATION </w:t>
      </w:r>
    </w:p>
    <w:p>
      <w:pPr>
        <w:pStyle w:val="TextBody"/>
        <w:bidi w:val="0"/>
        <w:spacing w:before="240" w:after="0"/>
        <w:jc w:val="both"/>
        <w:rPr>
          <w:rFonts w:ascii="ARIAL" w:hAnsi="ARIAL"/>
          <w:sz w:val="22"/>
        </w:rPr>
      </w:pPr>
      <w:r>
        <w:rPr>
          <w:rFonts w:ascii="ARIAL" w:hAnsi="ARIAL"/>
          <w:sz w:val="22"/>
        </w:rPr>
        <w:t>Pursuant to the Dodd-Frank Wall Street Reform and Consumer Protection Act of 2010 (the “</w:t>
      </w:r>
      <w:r>
        <w:rPr>
          <w:rFonts w:ascii="ARIAL" w:hAnsi="ARIAL"/>
          <w:b/>
          <w:sz w:val="22"/>
        </w:rPr>
        <w:t>Dodd- Frank Act</w:t>
      </w:r>
      <w:r>
        <w:rPr>
          <w:rFonts w:ascii="ARIAL" w:hAnsi="ARIAL"/>
          <w:sz w:val="22"/>
        </w:rPr>
        <w:t xml:space="preserve">”) Section 14A of the Exchange Act, the Company is required to submit to stockholders a resolution subject to an advisory vote to approve the compensation of the Company’s named executive officers. The advisory vote to approve named executive officer compensation is currently presented annually to our stockholders. </w:t>
      </w:r>
    </w:p>
    <w:p>
      <w:pPr>
        <w:pStyle w:val="TextBody"/>
        <w:bidi w:val="0"/>
        <w:spacing w:before="240" w:after="0"/>
        <w:jc w:val="both"/>
        <w:rPr>
          <w:rFonts w:ascii="ARIAL" w:hAnsi="ARIAL"/>
          <w:sz w:val="22"/>
        </w:rPr>
      </w:pPr>
      <w:r>
        <w:rPr>
          <w:rFonts w:ascii="ARIAL" w:hAnsi="ARIAL"/>
          <w:sz w:val="22"/>
        </w:rPr>
        <w:t>The Board encourages stockholders to carefully review the “</w:t>
      </w:r>
      <w:r>
        <w:rPr>
          <w:rFonts w:ascii="ARIAL" w:hAnsi="ARIAL"/>
          <w:i/>
          <w:sz w:val="22"/>
        </w:rPr>
        <w:t>Executive Compensation</w:t>
      </w:r>
      <w:r>
        <w:rPr>
          <w:rFonts w:ascii="ARIAL" w:hAnsi="ARIAL"/>
          <w:sz w:val="22"/>
        </w:rPr>
        <w:t xml:space="preserve">” caption of this Proxy Statement, including the </w:t>
      </w:r>
      <w:r>
        <w:rPr>
          <w:rFonts w:ascii="ARIAL" w:hAnsi="ARIAL"/>
          <w:i/>
          <w:sz w:val="22"/>
        </w:rPr>
        <w:t xml:space="preserve">CD&amp;A </w:t>
      </w:r>
      <w:r>
        <w:rPr>
          <w:rFonts w:ascii="ARIAL" w:hAnsi="ARIAL"/>
          <w:sz w:val="22"/>
        </w:rPr>
        <w:t xml:space="preserve">and </w:t>
      </w:r>
      <w:r>
        <w:rPr>
          <w:rFonts w:ascii="ARIAL" w:hAnsi="ARIAL"/>
          <w:i/>
          <w:sz w:val="22"/>
        </w:rPr>
        <w:t>Executive Compensation Tables</w:t>
      </w:r>
      <w:r>
        <w:rPr>
          <w:rFonts w:ascii="ARIAL" w:hAnsi="ARIAL"/>
          <w:sz w:val="22"/>
        </w:rPr>
        <w:t xml:space="preserve">, for a thorough discussion of the Company’s compensation program for named executive officers. The Company’s executive compensation objectives are to: attract and retain the best possible executive talent; motivate its executives to meet or exceed the Company’s financial and strategic goals; provide compensation programs that are transparent and easily understood; offer market aligned and balanced pay mix; align the financial interests of executives and stockholders; and to be responsive to stockholder perspectives. The Company has pursued these objectives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Having a significant portion of each executive officer’s total compensation directly tied to achieving the Company’s financial and strategic goals;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Using RSUs to provide long-term incentive compensation and to link the financial interests of its executives with those of its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Using compensation information compiled from a custom comparator group and published compensation surveys to help set compensation at competitive levels;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70"/>
        <w:gridCol w:w="6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both"/>
              <w:rPr>
                <w:rFonts w:ascii="ARIAL" w:hAnsi="ARIAL"/>
                <w:sz w:val="22"/>
              </w:rPr>
            </w:pPr>
            <w:r>
              <w:rPr>
                <w:rFonts w:ascii="ARIAL" w:hAnsi="ARIAL"/>
                <w:sz w:val="22"/>
              </w:rPr>
              <w:t xml:space="preserve">Maintaining a clawback policy that allows for the recoupment of incentives in certain circumstances;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70"/>
        <w:gridCol w:w="60"/>
        <w:gridCol w:w="71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both"/>
              <w:rPr>
                <w:rFonts w:ascii="ARIAL" w:hAnsi="ARIAL"/>
                <w:sz w:val="22"/>
              </w:rPr>
            </w:pPr>
            <w:r>
              <w:rPr>
                <w:rFonts w:ascii="ARIAL" w:hAnsi="ARIAL"/>
                <w:sz w:val="22"/>
              </w:rPr>
              <w:t xml:space="preserve">Maintaining stock ownership guidelines for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Prohibiting the hedging or pledging of shares of the Company’s common stock by named executive officers. </w:t>
            </w:r>
          </w:p>
        </w:tc>
      </w:tr>
    </w:tbl>
    <w:p>
      <w:pPr>
        <w:pStyle w:val="TextBody"/>
        <w:bidi w:val="0"/>
        <w:spacing w:before="240" w:after="0"/>
        <w:jc w:val="both"/>
        <w:rPr>
          <w:rFonts w:ascii="ARIAL" w:hAnsi="ARIAL"/>
          <w:sz w:val="22"/>
        </w:rPr>
      </w:pPr>
      <w:r>
        <w:rPr>
          <w:rFonts w:ascii="ARIAL" w:hAnsi="ARIAL"/>
          <w:sz w:val="22"/>
        </w:rPr>
        <w:t xml:space="preserve">Accordingly, the following resolution is submitted for an advisory stockholder vote at the Annual Meeting: </w:t>
      </w:r>
    </w:p>
    <w:p>
      <w:pPr>
        <w:pStyle w:val="TextBody"/>
        <w:bidi w:val="0"/>
        <w:spacing w:before="240" w:after="0"/>
        <w:jc w:val="both"/>
        <w:rPr/>
      </w:pPr>
      <w:r>
        <w:rPr/>
        <w:t>“</w:t>
      </w:r>
      <w:r>
        <w:rPr>
          <w:rFonts w:ascii="ARIAL" w:hAnsi="ARIAL"/>
          <w:sz w:val="22"/>
        </w:rPr>
        <w:t xml:space="preserve">RESOLVED, that the compensation paid to the Company’s named executive officers, as disclosed pursuant to Item 402 of Regulation S-K, including the Compensation Discussion and Analysis, compensation tables and narrative discussion, is hereby approved.” </w:t>
      </w:r>
    </w:p>
    <w:p>
      <w:pPr>
        <w:pStyle w:val="TextBody"/>
        <w:bidi w:val="0"/>
        <w:spacing w:before="240" w:after="0"/>
        <w:jc w:val="both"/>
        <w:rPr>
          <w:rFonts w:ascii="ARIAL" w:hAnsi="ARIAL"/>
          <w:sz w:val="22"/>
        </w:rPr>
      </w:pPr>
      <w:r>
        <w:rPr>
          <w:rFonts w:ascii="ARIAL" w:hAnsi="ARIAL"/>
          <w:sz w:val="22"/>
        </w:rPr>
        <w:t xml:space="preserve">As this is an advisory vote, the result will not be binding on the Company, the Board of Directors or the Committee, although the Board of Directors and the Committee will carefully consider the outcome of the vote when evaluating the Company’s compensation program. </w:t>
      </w:r>
    </w:p>
    <w:p>
      <w:pPr>
        <w:pStyle w:val="TextBody"/>
        <w:bidi w:val="0"/>
        <w:spacing w:before="240" w:after="0"/>
        <w:jc w:val="both"/>
        <w:rPr>
          <w:rFonts w:ascii="ARIAL" w:hAnsi="ARIAL"/>
          <w:b/>
          <w:sz w:val="22"/>
        </w:rPr>
      </w:pPr>
      <w:r>
        <w:rPr>
          <w:rFonts w:ascii="ARIAL" w:hAnsi="ARIAL"/>
          <w:b/>
          <w:sz w:val="22"/>
        </w:rPr>
        <w:t xml:space="preserve">The Board unanimously recommends you vote “FOR” to approve the advisory resolution on named executive officer compensation.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color w:val="248EC3"/>
          <w:sz w:val="22"/>
        </w:rPr>
      </w:pPr>
      <w:bookmarkStart w:id="15" w:name="toc52719_13"/>
      <w:bookmarkEnd w:id="15"/>
      <w:r>
        <w:rPr>
          <w:rFonts w:ascii="ARIAL" w:hAnsi="ARIAL"/>
          <w:b/>
          <w:color w:val="248EC3"/>
          <w:sz w:val="22"/>
        </w:rPr>
        <w:t xml:space="preserve">PROPOSAL 4 </w:t>
      </w:r>
      <w:r>
        <w:rPr>
          <w:rFonts w:ascii="ARIAL" w:hAnsi="ARIAL"/>
          <w:color w:val="248EC3"/>
          <w:sz w:val="22"/>
        </w:rPr>
        <w:t xml:space="preserve">– </w:t>
      </w:r>
      <w:r>
        <w:rPr>
          <w:rFonts w:ascii="ARIAL" w:hAnsi="ARIAL"/>
          <w:b/>
          <w:color w:val="248EC3"/>
          <w:sz w:val="22"/>
        </w:rPr>
        <w:t xml:space="preserve">APPROVAL OF </w:t>
      </w:r>
    </w:p>
    <w:p>
      <w:pPr>
        <w:pStyle w:val="TextBody"/>
        <w:bidi w:val="0"/>
        <w:spacing w:before="0" w:after="0"/>
        <w:jc w:val="center"/>
        <w:rPr>
          <w:rFonts w:ascii="ARIAL" w:hAnsi="ARIAL"/>
          <w:b/>
          <w:color w:val="248EC3"/>
          <w:sz w:val="22"/>
        </w:rPr>
      </w:pPr>
      <w:r>
        <w:rPr>
          <w:rFonts w:ascii="ARIAL" w:hAnsi="ARIAL"/>
          <w:b/>
          <w:color w:val="248EC3"/>
          <w:sz w:val="22"/>
        </w:rPr>
        <w:t xml:space="preserve">THE NEWELL BRANDS INC. 2026 INCENTIVE PLAN </w:t>
      </w:r>
    </w:p>
    <w:p>
      <w:pPr>
        <w:pStyle w:val="TextBody"/>
        <w:bidi w:val="0"/>
        <w:spacing w:before="240" w:after="0"/>
        <w:jc w:val="both"/>
        <w:rPr>
          <w:rFonts w:ascii="ARIAL" w:hAnsi="ARIAL"/>
          <w:sz w:val="22"/>
        </w:rPr>
      </w:pPr>
      <w:r>
        <w:rPr>
          <w:rFonts w:ascii="ARIAL" w:hAnsi="ARIAL"/>
          <w:sz w:val="22"/>
        </w:rPr>
        <w:t>We are asking stockholders to approve and adopt the Newell Brands Inc. 2026 Incentive Plan (the “</w:t>
      </w:r>
      <w:r>
        <w:rPr>
          <w:rFonts w:ascii="ARIAL" w:hAnsi="ARIAL"/>
          <w:b/>
          <w:sz w:val="22"/>
        </w:rPr>
        <w:t>2026 Plan</w:t>
      </w:r>
      <w:r>
        <w:rPr>
          <w:rFonts w:ascii="ARIAL" w:hAnsi="ARIAL"/>
          <w:sz w:val="22"/>
        </w:rPr>
        <w:t>”), as set forth in Appendix A to this Proxy Statement. On February 9, 2026, the Board approved and adopted, subject to approval of stockholders at the Annual Meeting, the 2026 Plan. The 2026 Plan will succeed the Company’s 2022 Incentive Plan, as amended (the “</w:t>
      </w:r>
      <w:r>
        <w:rPr>
          <w:rFonts w:ascii="ARIAL" w:hAnsi="ARIAL"/>
          <w:b/>
          <w:sz w:val="22"/>
        </w:rPr>
        <w:t>Prior Plan</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Approval of the 2026 Plan would constitute approval of 19,250,000 shares of our common stock, par value $1.00 per share, for issuance under the 2026 Plan, as described below and in the 2026 Plan, with such amount subject to adjustment, including under the 2026 Plan’s share counting rules. No new awards will be granted under the Prior Plan after the effective date of the 2026 Plan, but the Prior Plan shall continue to govern awards that remain outstanding thereunder. In addition, any shares subject to awards granted under the Prior Plan between March 5, 2026 and the effective date of the 2026 Plan will reduce the share pool under the 2026 Plan on a one-for-one basis. </w:t>
      </w:r>
    </w:p>
    <w:p>
      <w:pPr>
        <w:pStyle w:val="TextBody"/>
        <w:bidi w:val="0"/>
        <w:spacing w:before="240" w:after="0"/>
        <w:jc w:val="left"/>
        <w:rPr>
          <w:rFonts w:ascii="ARIAL" w:hAnsi="ARIAL"/>
          <w:b/>
          <w:sz w:val="22"/>
        </w:rPr>
      </w:pPr>
      <w:r>
        <w:rPr>
          <w:rFonts w:ascii="ARIAL" w:hAnsi="ARIAL"/>
          <w:b/>
          <w:sz w:val="22"/>
        </w:rPr>
        <w:t xml:space="preserve">WHY WE BELIEVE YOU SHOULD VOTE FOR THIS PROPOSAL </w:t>
      </w:r>
    </w:p>
    <w:p>
      <w:pPr>
        <w:pStyle w:val="TextBody"/>
        <w:bidi w:val="0"/>
        <w:spacing w:before="240" w:after="0"/>
        <w:jc w:val="both"/>
        <w:rPr>
          <w:rFonts w:ascii="ARIAL" w:hAnsi="ARIAL"/>
          <w:sz w:val="22"/>
        </w:rPr>
      </w:pPr>
      <w:r>
        <w:rPr>
          <w:rFonts w:ascii="ARIAL" w:hAnsi="ARIAL"/>
          <w:sz w:val="22"/>
        </w:rPr>
        <w:t xml:space="preserve">The Board recommends that stockholders support the 2026 Plan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We believe our future success depends in part on our ability to attract, motivate and retain talented executives and directors and that the ability to provide equity-based and incentive-based awards under the 2026 Plan is critical to achieving this success. We believe we would be at a competitive disadvantage if we could not use share-based awards to recruit and compensate our employees and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The use of our common stock as part of our compensation program is important to our continued success because equity-based awards are an essential component of our compensation program for employees, as they help to align the financial interests of our executives with those of our stockholders and reward participants based on service and/or performance. Approximately 22,000 of our employees were eligible to participate in the Prior Plan as of December 31, 2025, and approximately 480 of our employees participate in our annual long-term incentive award program under the Prior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A significant portion of each executive’s equity compensation each year is tied to Company performance. As noted above, in 2025, the named executive officers received annual LTIP grants that were 50% performance-based (in the form of PRSUs).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As of March 5, 2026, 2,189,802 shares of our common stock remain available for issuance pursuant to awards under the Prior Plan. If the 2026 Plan is not approved, we may be compelled to significantly increase the cash component of our employee and director compensation, which may not necessarily align employee and director compensation interests with the investment interests of our stockholders as closely as equity-based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2"/>
              </w:rPr>
            </w:pPr>
            <w:r>
              <w:rPr>
                <w:rFonts w:ascii="ARIAL" w:hAnsi="ARIAL"/>
                <w:sz w:val="22"/>
              </w:rPr>
              <w:t xml:space="preserve">awards would. Replacing equity-based awards with cash also would increase cash compensation expense and use cash that might be better utilized elsewhere. </w:t>
            </w:r>
          </w:p>
        </w:tc>
      </w:tr>
    </w:tbl>
    <w:p>
      <w:pPr>
        <w:pStyle w:val="TextBody"/>
        <w:bidi w:val="0"/>
        <w:spacing w:before="360" w:after="0"/>
        <w:jc w:val="left"/>
        <w:rPr>
          <w:rFonts w:ascii="ARIAL" w:hAnsi="ARIAL"/>
          <w:b/>
          <w:color w:val="248EC3"/>
          <w:sz w:val="22"/>
        </w:rPr>
      </w:pPr>
      <w:r>
        <w:rPr>
          <w:rFonts w:ascii="ARIAL" w:hAnsi="ARIAL"/>
          <w:b/>
          <w:color w:val="248EC3"/>
          <w:sz w:val="22"/>
        </w:rPr>
        <w:t xml:space="preserve">PLAN HIGHLIGHTS </w:t>
      </w:r>
    </w:p>
    <w:p>
      <w:pPr>
        <w:pStyle w:val="TextBody"/>
        <w:bidi w:val="0"/>
        <w:spacing w:before="240" w:after="0"/>
        <w:jc w:val="both"/>
        <w:rPr>
          <w:rFonts w:ascii="ARIAL" w:hAnsi="ARIAL"/>
          <w:sz w:val="22"/>
        </w:rPr>
      </w:pPr>
      <w:r>
        <w:rPr>
          <w:rFonts w:ascii="ARIAL" w:hAnsi="ARIAL"/>
          <w:sz w:val="22"/>
        </w:rPr>
        <w:t xml:space="preserve">The 2026 Plan reflects best practices in equity and incentive compensation and incorporates other features, including the following: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70"/>
        <w:gridCol w:w="60"/>
        <w:gridCol w:w="2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both"/>
              <w:rPr>
                <w:rFonts w:ascii="ARIAL" w:hAnsi="ARIAL"/>
                <w:sz w:val="22"/>
              </w:rPr>
            </w:pPr>
            <w:r>
              <w:rPr>
                <w:rFonts w:ascii="ARIAL" w:hAnsi="ARIAL"/>
                <w:sz w:val="22"/>
              </w:rPr>
              <w:t xml:space="preserve">No “liberal” share counting.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70"/>
        <w:gridCol w:w="6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both"/>
              <w:rPr>
                <w:rFonts w:ascii="ARIAL" w:hAnsi="ARIAL"/>
                <w:sz w:val="22"/>
              </w:rPr>
            </w:pPr>
            <w:r>
              <w:rPr>
                <w:rFonts w:ascii="ARIAL" w:hAnsi="ARIAL"/>
                <w:sz w:val="22"/>
              </w:rPr>
              <w:t xml:space="preserve">Prohibits granting discounted stock options and stock appreciation rights.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70"/>
        <w:gridCol w:w="6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rFonts w:ascii="ARIAL" w:hAnsi="ARIAL"/>
                <w:sz w:val="22"/>
              </w:rPr>
            </w:pPr>
            <w:r>
              <w:rPr>
                <w:rFonts w:ascii="ARIAL" w:hAnsi="ARIAL"/>
                <w:sz w:val="22"/>
              </w:rPr>
              <w:t xml:space="preserve">Prohibits the repricing of stock options and appreciation rights without stockholder approval. </w:t>
            </w:r>
          </w:p>
        </w:tc>
      </w:tr>
    </w:tbl>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75"/>
        <w:gridCol w:w="170"/>
        <w:gridCol w:w="60"/>
        <w:gridCol w:w="2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both"/>
              <w:rPr>
                <w:rFonts w:ascii="ARIAL" w:hAnsi="ARIAL"/>
                <w:sz w:val="22"/>
              </w:rPr>
            </w:pPr>
            <w:r>
              <w:rPr>
                <w:rFonts w:ascii="ARIAL" w:hAnsi="ARIAL"/>
                <w:sz w:val="22"/>
              </w:rPr>
              <w:t xml:space="preserve">No evergreen features.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Awards generally will be subject to “double-trigger” vesting upon a change in control, unless otherwise provided for in an award agreement.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70"/>
        <w:gridCol w:w="60"/>
        <w:gridCol w:w="9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both"/>
              <w:rPr>
                <w:rFonts w:ascii="ARIAL" w:hAnsi="ARIAL"/>
                <w:sz w:val="22"/>
              </w:rPr>
            </w:pPr>
            <w:r>
              <w:rPr>
                <w:rFonts w:ascii="ARIAL" w:hAnsi="ARIAL"/>
                <w:sz w:val="22"/>
              </w:rPr>
              <w:t xml:space="preserve">No dividends or dividend equivalents will be paid prior to the vesting of the underlying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Awards will be subject to a one-year minimum vesting or performance period, subject to certain limited exceptions described in the 2026 Plan.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70"/>
        <w:gridCol w:w="6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both"/>
              <w:rPr>
                <w:rFonts w:ascii="ARIAL" w:hAnsi="ARIAL"/>
                <w:sz w:val="22"/>
              </w:rPr>
            </w:pPr>
            <w:r>
              <w:rPr>
                <w:rFonts w:ascii="ARIAL" w:hAnsi="ARIAL"/>
                <w:sz w:val="22"/>
              </w:rPr>
              <w:t xml:space="preserve">No tax “gross-ups” for excise taxes payable in connection with a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Generally administered by our Compensation and Human Capital Committee of the Board, which is made up of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Awards are subject to certain forfeiture and claw back arrangements, including our incentive compensation recoupment policy applicable to our executive officers.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70"/>
        <w:gridCol w:w="60"/>
        <w:gridCol w:w="7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both"/>
              <w:rPr>
                <w:rFonts w:ascii="ARIAL" w:hAnsi="ARIAL"/>
                <w:sz w:val="22"/>
              </w:rPr>
            </w:pPr>
            <w:r>
              <w:rPr>
                <w:rFonts w:ascii="ARIAL" w:hAnsi="ARIAL"/>
                <w:sz w:val="22"/>
              </w:rPr>
              <w:t xml:space="preserve">No fungible share ratio (though the Prior Plan had a fungible share ratio). </w:t>
            </w:r>
          </w:p>
        </w:tc>
      </w:tr>
    </w:tbl>
    <w:p>
      <w:pPr>
        <w:pStyle w:val="TextBody"/>
        <w:bidi w:val="0"/>
        <w:spacing w:before="360" w:after="0"/>
        <w:jc w:val="left"/>
        <w:rPr>
          <w:rFonts w:ascii="ARIAL" w:hAnsi="ARIAL"/>
          <w:b/>
          <w:color w:val="248EC3"/>
          <w:sz w:val="22"/>
        </w:rPr>
      </w:pPr>
      <w:r>
        <w:rPr>
          <w:rFonts w:ascii="ARIAL" w:hAnsi="ARIAL"/>
          <w:b/>
          <w:color w:val="248EC3"/>
          <w:sz w:val="22"/>
        </w:rPr>
        <w:t xml:space="preserve">SUMMARY OF KEY STOCK PLAN DATA </w:t>
      </w:r>
    </w:p>
    <w:p>
      <w:pPr>
        <w:pStyle w:val="TextBody"/>
        <w:bidi w:val="0"/>
        <w:spacing w:before="240" w:after="0"/>
        <w:jc w:val="both"/>
        <w:rPr>
          <w:rFonts w:ascii="ARIAL" w:hAnsi="ARIAL"/>
          <w:sz w:val="22"/>
        </w:rPr>
      </w:pPr>
      <w:r>
        <w:rPr>
          <w:rFonts w:ascii="ARIAL" w:hAnsi="ARIAL"/>
          <w:sz w:val="22"/>
        </w:rPr>
        <w:t xml:space="preserve">In developing our share request for the 2026 Plan and to analyze the impact of equity awards on our stockholders, we considered our “overhang and dilution” and “burn rate.”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color w:val="248EC3"/>
          <w:sz w:val="22"/>
        </w:rPr>
      </w:pPr>
      <w:r>
        <w:rPr>
          <w:rFonts w:ascii="ARIAL" w:hAnsi="ARIAL"/>
          <w:b/>
          <w:i/>
          <w:color w:val="248EC3"/>
          <w:sz w:val="22"/>
        </w:rPr>
        <w:t xml:space="preserve">Overhang and Dilution </w:t>
      </w:r>
    </w:p>
    <w:p>
      <w:pPr>
        <w:pStyle w:val="TextBody"/>
        <w:bidi w:val="0"/>
        <w:spacing w:before="240" w:after="0"/>
        <w:jc w:val="both"/>
        <w:rPr>
          <w:rFonts w:ascii="ARIAL" w:hAnsi="ARIAL"/>
          <w:sz w:val="22"/>
        </w:rPr>
      </w:pPr>
      <w:r>
        <w:rPr>
          <w:rFonts w:ascii="ARIAL" w:hAnsi="ARIAL"/>
          <w:sz w:val="22"/>
        </w:rPr>
        <w:t xml:space="preserve">The following table includes aggregated information regarding our view of the overhang and dilution associated with all equity plans including the Prior Plan, and the potential dilution associated with the 2026 Plan: </w:t>
      </w:r>
    </w:p>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715"/>
        <w:gridCol w:w="60"/>
        <w:gridCol w:w="1505"/>
      </w:tblGrid>
      <w:tr>
        <w:trPr/>
        <w:tc>
          <w:tcPr>
            <w:tcW w:w="7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771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tcBorders>
              <w:bottom w:val="single" w:sz="6" w:space="0" w:color="000000"/>
            </w:tcBorders>
            <w:tcMar>
              <w:bottom w:w="40" w:type="dxa"/>
            </w:tcMar>
            <w:vAlign w:val="center"/>
          </w:tcPr>
          <w:p>
            <w:pPr>
              <w:pStyle w:val="TableContents"/>
              <w:bidi w:val="0"/>
              <w:spacing w:before="0" w:after="283"/>
              <w:jc w:val="center"/>
              <w:rPr>
                <w:b/>
              </w:rPr>
            </w:pPr>
            <w:r>
              <w:rPr>
                <w:b/>
              </w:rPr>
              <w:t>March 5, 2026</w:t>
            </w:r>
          </w:p>
        </w:tc>
      </w:tr>
      <w:tr>
        <w:trPr/>
        <w:tc>
          <w:tcPr>
            <w:tcW w:w="77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tcBorders>
              <w:bottom w:val="single" w:sz="6" w:space="0" w:color="000000"/>
            </w:tcBorders>
            <w:tcMar>
              <w:bottom w:w="28" w:type="dxa"/>
            </w:tcMar>
            <w:vAlign w:val="center"/>
          </w:tcPr>
          <w:p>
            <w:pPr>
              <w:pStyle w:val="TableContents"/>
              <w:bidi w:val="0"/>
              <w:spacing w:before="0" w:after="20"/>
              <w:jc w:val="both"/>
              <w:rPr/>
            </w:pPr>
            <w:r>
              <w:rPr/>
              <w:t> </w:t>
            </w:r>
          </w:p>
        </w:tc>
      </w:tr>
      <w:tr>
        <w:trPr/>
        <w:tc>
          <w:tcPr>
            <w:tcW w:w="7715" w:type="dxa"/>
            <w:tcBorders/>
            <w:shd w:fill="D5EBF6" w:val="clear"/>
            <w:vAlign w:val="center"/>
          </w:tcPr>
          <w:p>
            <w:pPr>
              <w:pStyle w:val="TableContents"/>
              <w:bidi w:val="0"/>
              <w:spacing w:before="0" w:after="283"/>
              <w:jc w:val="left"/>
              <w:rPr>
                <w:sz w:val="4"/>
                <w:szCs w:val="4"/>
              </w:rPr>
            </w:pPr>
            <w:r>
              <w:rPr>
                <w:sz w:val="4"/>
                <w:szCs w:val="4"/>
              </w:rPr>
            </w:r>
          </w:p>
        </w:tc>
        <w:tc>
          <w:tcPr>
            <w:tcW w:w="156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715" w:type="dxa"/>
            <w:tcBorders/>
            <w:shd w:fill="D5EBF6" w:val="clear"/>
            <w:vAlign w:val="center"/>
          </w:tcPr>
          <w:p>
            <w:pPr>
              <w:pStyle w:val="TableContents"/>
              <w:bidi w:val="0"/>
              <w:spacing w:before="0" w:after="0"/>
              <w:jc w:val="left"/>
              <w:rPr/>
            </w:pPr>
            <w:r>
              <w:rPr/>
              <w:t> </w:t>
            </w:r>
            <w:r>
              <w:rPr>
                <w:rFonts w:ascii="ARIAL" w:hAnsi="ARIAL"/>
                <w:sz w:val="22"/>
              </w:rPr>
              <w:t>Stock Options Outstanding (A)</w:t>
            </w:r>
          </w:p>
        </w:tc>
        <w:tc>
          <w:tcPr>
            <w:tcW w:w="60" w:type="dxa"/>
            <w:tcBorders/>
            <w:shd w:fill="D5EBF6" w:val="clear"/>
            <w:vAlign w:val="center"/>
          </w:tcPr>
          <w:p>
            <w:pPr>
              <w:pStyle w:val="TableContents"/>
              <w:bidi w:val="0"/>
              <w:spacing w:before="0" w:after="283"/>
              <w:jc w:val="left"/>
              <w:rPr/>
            </w:pPr>
            <w:r>
              <w:rPr/>
              <w:t> </w:t>
            </w:r>
          </w:p>
        </w:tc>
        <w:tc>
          <w:tcPr>
            <w:tcW w:w="1505" w:type="dxa"/>
            <w:tcBorders/>
            <w:shd w:fill="D5EBF6" w:val="clear"/>
            <w:vAlign w:val="center"/>
          </w:tcPr>
          <w:p>
            <w:pPr>
              <w:pStyle w:val="TableContents"/>
              <w:bidi w:val="0"/>
              <w:spacing w:before="0" w:after="283"/>
              <w:jc w:val="center"/>
              <w:rPr/>
            </w:pPr>
            <w:r>
              <w:rPr/>
              <w:t>5,596,978</w:t>
            </w:r>
          </w:p>
        </w:tc>
      </w:tr>
      <w:tr>
        <w:trPr/>
        <w:tc>
          <w:tcPr>
            <w:tcW w:w="7715" w:type="dxa"/>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r>
      <w:tr>
        <w:trPr/>
        <w:tc>
          <w:tcPr>
            <w:tcW w:w="7715" w:type="dxa"/>
            <w:tcBorders/>
            <w:vAlign w:val="center"/>
          </w:tcPr>
          <w:p>
            <w:pPr>
              <w:pStyle w:val="TableContents"/>
              <w:bidi w:val="0"/>
              <w:spacing w:before="0" w:after="0"/>
              <w:jc w:val="left"/>
              <w:rPr/>
            </w:pPr>
            <w:r>
              <w:rPr/>
              <w:t> </w:t>
            </w:r>
            <w:r>
              <w:rPr>
                <w:rFonts w:ascii="ARIAL" w:hAnsi="ARIAL"/>
                <w:sz w:val="22"/>
              </w:rPr>
              <w:t>Weighted-Average Exercise Price of Outstanding Stock Options</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$21.35</w:t>
            </w:r>
          </w:p>
        </w:tc>
      </w:tr>
      <w:tr>
        <w:trPr/>
        <w:tc>
          <w:tcPr>
            <w:tcW w:w="7715" w:type="dxa"/>
            <w:tcBorders/>
            <w:shd w:fill="D5EBF6" w:val="clear"/>
            <w:vAlign w:val="center"/>
          </w:tcPr>
          <w:p>
            <w:pPr>
              <w:pStyle w:val="TableContents"/>
              <w:bidi w:val="0"/>
              <w:spacing w:before="0" w:after="283"/>
              <w:jc w:val="left"/>
              <w:rPr>
                <w:sz w:val="4"/>
                <w:szCs w:val="4"/>
              </w:rPr>
            </w:pPr>
            <w:r>
              <w:rPr>
                <w:sz w:val="4"/>
                <w:szCs w:val="4"/>
              </w:rPr>
            </w:r>
          </w:p>
        </w:tc>
        <w:tc>
          <w:tcPr>
            <w:tcW w:w="156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715" w:type="dxa"/>
            <w:tcBorders/>
            <w:shd w:fill="D5EBF6" w:val="clear"/>
            <w:vAlign w:val="center"/>
          </w:tcPr>
          <w:p>
            <w:pPr>
              <w:pStyle w:val="TableContents"/>
              <w:bidi w:val="0"/>
              <w:spacing w:before="0" w:after="0"/>
              <w:jc w:val="left"/>
              <w:rPr/>
            </w:pPr>
            <w:r>
              <w:rPr/>
              <w:t> </w:t>
            </w:r>
            <w:r>
              <w:rPr>
                <w:rFonts w:ascii="ARIAL" w:hAnsi="ARIAL"/>
                <w:sz w:val="22"/>
              </w:rPr>
              <w:t>Weighted-Average Remaining Term of Outstanding Stock Options (Years)</w:t>
            </w:r>
          </w:p>
        </w:tc>
        <w:tc>
          <w:tcPr>
            <w:tcW w:w="60" w:type="dxa"/>
            <w:tcBorders/>
            <w:shd w:fill="D5EBF6" w:val="clear"/>
            <w:vAlign w:val="center"/>
          </w:tcPr>
          <w:p>
            <w:pPr>
              <w:pStyle w:val="TableContents"/>
              <w:bidi w:val="0"/>
              <w:spacing w:before="0" w:after="283"/>
              <w:jc w:val="left"/>
              <w:rPr/>
            </w:pPr>
            <w:r>
              <w:rPr/>
              <w:t> </w:t>
            </w:r>
          </w:p>
        </w:tc>
        <w:tc>
          <w:tcPr>
            <w:tcW w:w="1505" w:type="dxa"/>
            <w:tcBorders/>
            <w:shd w:fill="D5EBF6" w:val="clear"/>
            <w:vAlign w:val="center"/>
          </w:tcPr>
          <w:p>
            <w:pPr>
              <w:pStyle w:val="TableContents"/>
              <w:bidi w:val="0"/>
              <w:spacing w:before="0" w:after="283"/>
              <w:jc w:val="center"/>
              <w:rPr/>
            </w:pPr>
            <w:r>
              <w:rPr/>
              <w:t>3.24</w:t>
            </w:r>
          </w:p>
        </w:tc>
      </w:tr>
      <w:tr>
        <w:trPr/>
        <w:tc>
          <w:tcPr>
            <w:tcW w:w="7715" w:type="dxa"/>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r>
      <w:tr>
        <w:trPr/>
        <w:tc>
          <w:tcPr>
            <w:tcW w:w="7715" w:type="dxa"/>
            <w:tcBorders/>
            <w:vAlign w:val="center"/>
          </w:tcPr>
          <w:p>
            <w:pPr>
              <w:pStyle w:val="TableContents"/>
              <w:bidi w:val="0"/>
              <w:spacing w:before="0" w:after="0"/>
              <w:jc w:val="left"/>
              <w:rPr/>
            </w:pPr>
            <w:r>
              <w:rPr/>
              <w:t> </w:t>
            </w:r>
            <w:r>
              <w:rPr>
                <w:rFonts w:ascii="ARIAL" w:hAnsi="ARIAL"/>
                <w:sz w:val="22"/>
              </w:rPr>
              <w:t>Total Stock-Settled Full Value Awards Outstanding (B)(1)</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25,968,086</w:t>
            </w:r>
          </w:p>
        </w:tc>
      </w:tr>
      <w:tr>
        <w:trPr/>
        <w:tc>
          <w:tcPr>
            <w:tcW w:w="7715" w:type="dxa"/>
            <w:tcBorders/>
            <w:shd w:fill="D5EBF6" w:val="clear"/>
            <w:vAlign w:val="center"/>
          </w:tcPr>
          <w:p>
            <w:pPr>
              <w:pStyle w:val="TableContents"/>
              <w:bidi w:val="0"/>
              <w:spacing w:before="0" w:after="283"/>
              <w:jc w:val="left"/>
              <w:rPr>
                <w:sz w:val="4"/>
                <w:szCs w:val="4"/>
              </w:rPr>
            </w:pPr>
            <w:r>
              <w:rPr>
                <w:sz w:val="4"/>
                <w:szCs w:val="4"/>
              </w:rPr>
            </w:r>
          </w:p>
        </w:tc>
        <w:tc>
          <w:tcPr>
            <w:tcW w:w="156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715" w:type="dxa"/>
            <w:tcBorders/>
            <w:shd w:fill="D5EBF6" w:val="clear"/>
            <w:vAlign w:val="center"/>
          </w:tcPr>
          <w:p>
            <w:pPr>
              <w:pStyle w:val="TableContents"/>
              <w:bidi w:val="0"/>
              <w:spacing w:before="0" w:after="0"/>
              <w:jc w:val="left"/>
              <w:rPr/>
            </w:pPr>
            <w:r>
              <w:rPr/>
              <w:t> </w:t>
            </w:r>
            <w:r>
              <w:rPr>
                <w:rFonts w:ascii="ARIAL" w:hAnsi="ARIAL"/>
                <w:sz w:val="22"/>
              </w:rPr>
              <w:t>Total Shares Subject to Outstanding Awards (A + B)</w:t>
            </w:r>
          </w:p>
        </w:tc>
        <w:tc>
          <w:tcPr>
            <w:tcW w:w="60" w:type="dxa"/>
            <w:tcBorders/>
            <w:shd w:fill="D5EBF6" w:val="clear"/>
            <w:vAlign w:val="center"/>
          </w:tcPr>
          <w:p>
            <w:pPr>
              <w:pStyle w:val="TableContents"/>
              <w:bidi w:val="0"/>
              <w:spacing w:before="0" w:after="283"/>
              <w:jc w:val="left"/>
              <w:rPr/>
            </w:pPr>
            <w:r>
              <w:rPr/>
              <w:t> </w:t>
            </w:r>
          </w:p>
        </w:tc>
        <w:tc>
          <w:tcPr>
            <w:tcW w:w="1505" w:type="dxa"/>
            <w:tcBorders/>
            <w:shd w:fill="D5EBF6" w:val="clear"/>
            <w:vAlign w:val="center"/>
          </w:tcPr>
          <w:p>
            <w:pPr>
              <w:pStyle w:val="TableContents"/>
              <w:bidi w:val="0"/>
              <w:spacing w:before="0" w:after="283"/>
              <w:jc w:val="center"/>
              <w:rPr/>
            </w:pPr>
            <w:r>
              <w:rPr/>
              <w:t>31,565,064</w:t>
            </w:r>
          </w:p>
        </w:tc>
      </w:tr>
      <w:tr>
        <w:trPr/>
        <w:tc>
          <w:tcPr>
            <w:tcW w:w="7715" w:type="dxa"/>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r>
      <w:tr>
        <w:trPr/>
        <w:tc>
          <w:tcPr>
            <w:tcW w:w="7715" w:type="dxa"/>
            <w:tcBorders/>
            <w:vAlign w:val="center"/>
          </w:tcPr>
          <w:p>
            <w:pPr>
              <w:pStyle w:val="TableContents"/>
              <w:bidi w:val="0"/>
              <w:spacing w:before="0" w:after="0"/>
              <w:jc w:val="left"/>
              <w:rPr/>
            </w:pPr>
            <w:r>
              <w:rPr/>
              <w:t> </w:t>
            </w:r>
            <w:r>
              <w:rPr>
                <w:rFonts w:ascii="ARIAL" w:hAnsi="ARIAL"/>
                <w:sz w:val="22"/>
              </w:rPr>
              <w:t>Total Shares Remaining Available for Issuance under the Prior Plan (C)(1)(2)</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2,189,802</w:t>
            </w:r>
          </w:p>
        </w:tc>
      </w:tr>
      <w:tr>
        <w:trPr/>
        <w:tc>
          <w:tcPr>
            <w:tcW w:w="7715" w:type="dxa"/>
            <w:tcBorders/>
            <w:shd w:fill="D5EBF6" w:val="clear"/>
            <w:vAlign w:val="center"/>
          </w:tcPr>
          <w:p>
            <w:pPr>
              <w:pStyle w:val="TableContents"/>
              <w:bidi w:val="0"/>
              <w:spacing w:before="0" w:after="283"/>
              <w:jc w:val="left"/>
              <w:rPr>
                <w:sz w:val="4"/>
                <w:szCs w:val="4"/>
              </w:rPr>
            </w:pPr>
            <w:r>
              <w:rPr>
                <w:sz w:val="4"/>
                <w:szCs w:val="4"/>
              </w:rPr>
            </w:r>
          </w:p>
        </w:tc>
        <w:tc>
          <w:tcPr>
            <w:tcW w:w="156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715" w:type="dxa"/>
            <w:tcBorders/>
            <w:shd w:fill="D5EBF6" w:val="clear"/>
            <w:vAlign w:val="center"/>
          </w:tcPr>
          <w:p>
            <w:pPr>
              <w:pStyle w:val="TableContents"/>
              <w:bidi w:val="0"/>
              <w:spacing w:before="0" w:after="0"/>
              <w:jc w:val="left"/>
              <w:rPr/>
            </w:pPr>
            <w:r>
              <w:rPr/>
              <w:t> </w:t>
            </w:r>
            <w:r>
              <w:rPr>
                <w:rFonts w:ascii="ARIAL" w:hAnsi="ARIAL"/>
                <w:sz w:val="22"/>
              </w:rPr>
              <w:t>Additional Shares Requested (D)</w:t>
            </w:r>
          </w:p>
        </w:tc>
        <w:tc>
          <w:tcPr>
            <w:tcW w:w="60" w:type="dxa"/>
            <w:tcBorders/>
            <w:shd w:fill="D5EBF6" w:val="clear"/>
            <w:vAlign w:val="center"/>
          </w:tcPr>
          <w:p>
            <w:pPr>
              <w:pStyle w:val="TableContents"/>
              <w:bidi w:val="0"/>
              <w:spacing w:before="0" w:after="283"/>
              <w:jc w:val="left"/>
              <w:rPr/>
            </w:pPr>
            <w:r>
              <w:rPr/>
              <w:t> </w:t>
            </w:r>
          </w:p>
        </w:tc>
        <w:tc>
          <w:tcPr>
            <w:tcW w:w="1505" w:type="dxa"/>
            <w:tcBorders/>
            <w:shd w:fill="D5EBF6" w:val="clear"/>
            <w:vAlign w:val="center"/>
          </w:tcPr>
          <w:p>
            <w:pPr>
              <w:pStyle w:val="TableContents"/>
              <w:bidi w:val="0"/>
              <w:spacing w:before="0" w:after="283"/>
              <w:jc w:val="center"/>
              <w:rPr/>
            </w:pPr>
            <w:r>
              <w:rPr/>
              <w:t>19,250,000</w:t>
            </w:r>
          </w:p>
        </w:tc>
      </w:tr>
      <w:tr>
        <w:trPr/>
        <w:tc>
          <w:tcPr>
            <w:tcW w:w="7715" w:type="dxa"/>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r>
      <w:tr>
        <w:trPr/>
        <w:tc>
          <w:tcPr>
            <w:tcW w:w="7715" w:type="dxa"/>
            <w:tcBorders/>
            <w:vAlign w:val="center"/>
          </w:tcPr>
          <w:p>
            <w:pPr>
              <w:pStyle w:val="TableContents"/>
              <w:bidi w:val="0"/>
              <w:spacing w:before="0" w:after="0"/>
              <w:jc w:val="left"/>
              <w:rPr/>
            </w:pPr>
            <w:r>
              <w:rPr/>
              <w:t> </w:t>
            </w:r>
            <w:r>
              <w:rPr>
                <w:rFonts w:ascii="ARIAL" w:hAnsi="ARIAL"/>
                <w:sz w:val="22"/>
              </w:rPr>
              <w:t>Basic Common Shares Outstanding (E)</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424,927,772</w:t>
            </w:r>
          </w:p>
        </w:tc>
      </w:tr>
      <w:tr>
        <w:trPr/>
        <w:tc>
          <w:tcPr>
            <w:tcW w:w="7715" w:type="dxa"/>
            <w:tcBorders/>
            <w:shd w:fill="D5EBF6" w:val="clear"/>
            <w:vAlign w:val="center"/>
          </w:tcPr>
          <w:p>
            <w:pPr>
              <w:pStyle w:val="TableContents"/>
              <w:bidi w:val="0"/>
              <w:spacing w:before="0" w:after="283"/>
              <w:jc w:val="left"/>
              <w:rPr>
                <w:sz w:val="4"/>
                <w:szCs w:val="4"/>
              </w:rPr>
            </w:pPr>
            <w:r>
              <w:rPr>
                <w:sz w:val="4"/>
                <w:szCs w:val="4"/>
              </w:rPr>
            </w:r>
          </w:p>
        </w:tc>
        <w:tc>
          <w:tcPr>
            <w:tcW w:w="156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715" w:type="dxa"/>
            <w:tcBorders/>
            <w:shd w:fill="D5EBF6" w:val="clear"/>
            <w:vAlign w:val="center"/>
          </w:tcPr>
          <w:p>
            <w:pPr>
              <w:pStyle w:val="TableContents"/>
              <w:bidi w:val="0"/>
              <w:spacing w:before="0" w:after="0"/>
              <w:jc w:val="left"/>
              <w:rPr/>
            </w:pPr>
            <w:r>
              <w:rPr/>
              <w:t> </w:t>
            </w:r>
            <w:r>
              <w:rPr>
                <w:rFonts w:ascii="ARIAL" w:hAnsi="ARIAL"/>
                <w:sz w:val="22"/>
              </w:rPr>
              <w:t>Potential Basic Dilution of 2026 Plan (D/E)</w:t>
            </w:r>
          </w:p>
        </w:tc>
        <w:tc>
          <w:tcPr>
            <w:tcW w:w="60" w:type="dxa"/>
            <w:tcBorders/>
            <w:shd w:fill="D5EBF6" w:val="clear"/>
            <w:vAlign w:val="center"/>
          </w:tcPr>
          <w:p>
            <w:pPr>
              <w:pStyle w:val="TableContents"/>
              <w:bidi w:val="0"/>
              <w:spacing w:before="0" w:after="283"/>
              <w:jc w:val="left"/>
              <w:rPr/>
            </w:pPr>
            <w:r>
              <w:rPr/>
              <w:t> </w:t>
            </w:r>
          </w:p>
        </w:tc>
        <w:tc>
          <w:tcPr>
            <w:tcW w:w="1505" w:type="dxa"/>
            <w:tcBorders/>
            <w:shd w:fill="D5EBF6" w:val="clear"/>
            <w:vAlign w:val="center"/>
          </w:tcPr>
          <w:p>
            <w:pPr>
              <w:pStyle w:val="TableContents"/>
              <w:bidi w:val="0"/>
              <w:spacing w:before="0" w:after="283"/>
              <w:jc w:val="center"/>
              <w:rPr/>
            </w:pPr>
            <w:r>
              <w:rPr/>
              <w:t>4.53%</w:t>
            </w:r>
          </w:p>
        </w:tc>
      </w:tr>
      <w:tr>
        <w:trPr/>
        <w:tc>
          <w:tcPr>
            <w:tcW w:w="7715" w:type="dxa"/>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r>
      <w:tr>
        <w:trPr/>
        <w:tc>
          <w:tcPr>
            <w:tcW w:w="7715" w:type="dxa"/>
            <w:tcBorders/>
            <w:vAlign w:val="center"/>
          </w:tcPr>
          <w:p>
            <w:pPr>
              <w:pStyle w:val="TableContents"/>
              <w:bidi w:val="0"/>
              <w:spacing w:before="0" w:after="0"/>
              <w:jc w:val="left"/>
              <w:rPr/>
            </w:pPr>
            <w:r>
              <w:rPr/>
              <w:t> </w:t>
            </w:r>
            <w:r>
              <w:rPr>
                <w:rFonts w:ascii="ARIAL" w:hAnsi="ARIAL"/>
                <w:sz w:val="22"/>
              </w:rPr>
              <w:t>Potential Basic Dilution/Overhang of Prior Plan ((A+B+C)/E)</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7.94%</w:t>
            </w:r>
          </w:p>
        </w:tc>
      </w:tr>
      <w:tr>
        <w:trPr/>
        <w:tc>
          <w:tcPr>
            <w:tcW w:w="7715" w:type="dxa"/>
            <w:tcBorders/>
            <w:shd w:fill="D5EBF6" w:val="clear"/>
            <w:vAlign w:val="center"/>
          </w:tcPr>
          <w:p>
            <w:pPr>
              <w:pStyle w:val="TableContents"/>
              <w:bidi w:val="0"/>
              <w:spacing w:before="0" w:after="283"/>
              <w:jc w:val="left"/>
              <w:rPr>
                <w:sz w:val="4"/>
                <w:szCs w:val="4"/>
              </w:rPr>
            </w:pPr>
            <w:r>
              <w:rPr>
                <w:sz w:val="4"/>
                <w:szCs w:val="4"/>
              </w:rPr>
            </w:r>
          </w:p>
        </w:tc>
        <w:tc>
          <w:tcPr>
            <w:tcW w:w="1565" w:type="dxa"/>
            <w:gridSpan w:val="2"/>
            <w:tcBorders/>
            <w:shd w:fill="D5EBF6" w:val="clear"/>
            <w:vAlign w:val="center"/>
          </w:tcPr>
          <w:p>
            <w:pPr>
              <w:pStyle w:val="TableContents"/>
              <w:bidi w:val="0"/>
              <w:spacing w:before="0" w:after="283"/>
              <w:jc w:val="left"/>
              <w:rPr>
                <w:sz w:val="4"/>
                <w:szCs w:val="4"/>
              </w:rPr>
            </w:pPr>
            <w:r>
              <w:rPr>
                <w:sz w:val="4"/>
                <w:szCs w:val="4"/>
              </w:rPr>
            </w:r>
          </w:p>
        </w:tc>
      </w:tr>
      <w:tr>
        <w:trPr/>
        <w:tc>
          <w:tcPr>
            <w:tcW w:w="7715" w:type="dxa"/>
            <w:tcBorders>
              <w:bottom w:val="single" w:sz="6" w:space="0" w:color="000000"/>
            </w:tcBorders>
            <w:shd w:fill="D5EBF6" w:val="clear"/>
            <w:tcMar>
              <w:bottom w:w="40" w:type="dxa"/>
            </w:tcMar>
            <w:vAlign w:val="center"/>
          </w:tcPr>
          <w:p>
            <w:pPr>
              <w:pStyle w:val="TableContents"/>
              <w:bidi w:val="0"/>
              <w:spacing w:before="0" w:after="0"/>
              <w:jc w:val="left"/>
              <w:rPr/>
            </w:pPr>
            <w:r>
              <w:rPr/>
              <w:t> </w:t>
            </w:r>
            <w:r>
              <w:rPr>
                <w:rFonts w:ascii="ARIAL" w:hAnsi="ARIAL"/>
                <w:sz w:val="22"/>
              </w:rPr>
              <w:t>Total Potential Basic Dilution/Overhang if 2026 Plan approved ((A+B+D)/E)(2)</w:t>
            </w:r>
          </w:p>
        </w:tc>
        <w:tc>
          <w:tcPr>
            <w:tcW w:w="60" w:type="dxa"/>
            <w:tcBorders>
              <w:bottom w:val="single" w:sz="6" w:space="0" w:color="000000"/>
            </w:tcBorders>
            <w:shd w:fill="D5EBF6" w:val="clear"/>
            <w:tcMar>
              <w:bottom w:w="28" w:type="dxa"/>
            </w:tcMar>
            <w:vAlign w:val="center"/>
          </w:tcPr>
          <w:p>
            <w:pPr>
              <w:pStyle w:val="TableContents"/>
              <w:bidi w:val="0"/>
              <w:spacing w:before="0" w:after="283"/>
              <w:jc w:val="left"/>
              <w:rPr/>
            </w:pPr>
            <w:r>
              <w:rPr/>
              <w:t> </w:t>
            </w:r>
          </w:p>
        </w:tc>
        <w:tc>
          <w:tcPr>
            <w:tcW w:w="1505" w:type="dxa"/>
            <w:tcBorders>
              <w:bottom w:val="single" w:sz="6" w:space="0" w:color="000000"/>
            </w:tcBorders>
            <w:shd w:fill="D5EBF6" w:val="clear"/>
            <w:tcMar>
              <w:bottom w:w="40" w:type="dxa"/>
            </w:tcMar>
            <w:vAlign w:val="center"/>
          </w:tcPr>
          <w:p>
            <w:pPr>
              <w:pStyle w:val="TableContents"/>
              <w:bidi w:val="0"/>
              <w:spacing w:before="0" w:after="283"/>
              <w:jc w:val="center"/>
              <w:rPr/>
            </w:pPr>
            <w:r>
              <w:rPr/>
              <w:t>11.96%</w:t>
            </w:r>
          </w:p>
        </w:tc>
      </w:tr>
      <w:tr>
        <w:trPr/>
        <w:tc>
          <w:tcPr>
            <w:tcW w:w="77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tcBorders>
              <w:bottom w:val="single" w:sz="6" w:space="0" w:color="000000"/>
            </w:tcBorders>
            <w:tcMar>
              <w:bottom w:w="28" w:type="dxa"/>
            </w:tcMar>
            <w:vAlign w:val="center"/>
          </w:tcPr>
          <w:p>
            <w:pPr>
              <w:pStyle w:val="TableContents"/>
              <w:bidi w:val="0"/>
              <w:spacing w:before="0" w:after="20"/>
              <w:jc w:val="both"/>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0"/>
              <w:jc w:val="both"/>
              <w:rPr>
                <w:rFonts w:ascii="ARIAL" w:hAnsi="ARIAL"/>
                <w:sz w:val="18"/>
              </w:rPr>
            </w:pPr>
            <w:r>
              <w:rPr>
                <w:rFonts w:ascii="ARIAL" w:hAnsi="ARIAL"/>
                <w:sz w:val="18"/>
              </w:rPr>
              <w:t xml:space="preserve">The numbers shown in this row represent the assumption that all PRSUs pay out at maximum potential performance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(2)</w:t>
            </w:r>
          </w:p>
        </w:tc>
        <w:tc>
          <w:tcPr>
            <w:tcW w:w="9954" w:type="dxa"/>
            <w:tcBorders/>
            <w:vAlign w:val="center"/>
          </w:tcPr>
          <w:p>
            <w:pPr>
              <w:pStyle w:val="TableContents"/>
              <w:bidi w:val="0"/>
              <w:spacing w:before="0" w:after="0"/>
              <w:jc w:val="both"/>
              <w:rPr>
                <w:rFonts w:ascii="ARIAL" w:hAnsi="ARIAL"/>
                <w:sz w:val="18"/>
              </w:rPr>
            </w:pPr>
            <w:r>
              <w:rPr>
                <w:rFonts w:ascii="ARIAL" w:hAnsi="ARIAL"/>
                <w:sz w:val="18"/>
              </w:rPr>
              <w:t xml:space="preserve">Upon stockholder approval of the 2026 Plan, no further awards will be made under the Prior Plan, and no shares available under the Prior Plan will carry forward to the 2026 Plan. Any shares with respect to awards granted under the Prior Plan after March 5, 2026 but prior to the approval of the 2026 Plan will reduce the number of shares available under the 2026 Plan on a one-for-one basis. </w:t>
            </w:r>
          </w:p>
        </w:tc>
      </w:tr>
    </w:tbl>
    <w:p>
      <w:pPr>
        <w:pStyle w:val="TextBody"/>
        <w:bidi w:val="0"/>
        <w:spacing w:before="240" w:after="0"/>
        <w:jc w:val="both"/>
        <w:rPr>
          <w:rFonts w:ascii="ARIAL" w:hAnsi="ARIAL"/>
          <w:sz w:val="22"/>
        </w:rPr>
      </w:pPr>
      <w:r>
        <w:rPr>
          <w:rFonts w:ascii="ARIAL" w:hAnsi="ARIAL"/>
          <w:sz w:val="22"/>
        </w:rPr>
        <w:t xml:space="preserve">Based on the closing price on Nasdaq Global Select Market for a share of our common stock on March 5, 2026 of $4.30 per share, the aggregate market value as of March 5, 2026 of the new 19,250,000 shares of our common stock requested under the 2026 Plan was $82,775,000.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color w:val="248EC3"/>
          <w:sz w:val="22"/>
        </w:rPr>
      </w:pPr>
      <w:r>
        <w:rPr>
          <w:rFonts w:ascii="ARIAL" w:hAnsi="ARIAL"/>
          <w:b/>
          <w:i/>
          <w:color w:val="248EC3"/>
          <w:sz w:val="22"/>
        </w:rPr>
        <w:t xml:space="preserve">Burn Rate </w:t>
      </w:r>
    </w:p>
    <w:p>
      <w:pPr>
        <w:pStyle w:val="TextBody"/>
        <w:bidi w:val="0"/>
        <w:spacing w:before="240" w:after="0"/>
        <w:jc w:val="both"/>
        <w:rPr>
          <w:rFonts w:ascii="ARIAL" w:hAnsi="ARIAL"/>
          <w:sz w:val="22"/>
        </w:rPr>
      </w:pPr>
      <w:r>
        <w:rPr>
          <w:rFonts w:ascii="ARIAL" w:hAnsi="ARIAL"/>
          <w:sz w:val="22"/>
        </w:rPr>
        <w:t xml:space="preserve">Burn rate provides a measure of the potential dilutive impact of our annual equity award program. Set forth below is a table that reflects our burn rate as of fiscal year end for 2025, 2024 and 2023, as well as the average over those years: </w:t>
      </w:r>
    </w:p>
    <w:p>
      <w:pPr>
        <w:pStyle w:val="TextBody"/>
        <w:bidi w:val="0"/>
        <w:spacing w:before="0" w:after="0"/>
        <w:jc w:val="left"/>
        <w:rPr/>
      </w:pPr>
      <w:r>
        <w:rPr/>
        <w:t> </w:t>
      </w:r>
    </w:p>
    <w:tbl>
      <w:tblPr>
        <w:tblW w:w="9395" w:type="dxa"/>
        <w:jc w:val="left"/>
        <w:tblInd w:w="0" w:type="dxa"/>
        <w:tblLayout w:type="fixed"/>
        <w:tblCellMar>
          <w:top w:w="0" w:type="dxa"/>
          <w:left w:w="0" w:type="dxa"/>
          <w:bottom w:w="0" w:type="dxa"/>
          <w:right w:w="0" w:type="dxa"/>
        </w:tblCellMar>
      </w:tblPr>
      <w:tblGrid>
        <w:gridCol w:w="5180"/>
        <w:gridCol w:w="60"/>
        <w:gridCol w:w="60"/>
        <w:gridCol w:w="1220"/>
        <w:gridCol w:w="60"/>
        <w:gridCol w:w="60"/>
        <w:gridCol w:w="60"/>
        <w:gridCol w:w="1220"/>
        <w:gridCol w:w="60"/>
        <w:gridCol w:w="60"/>
        <w:gridCol w:w="60"/>
        <w:gridCol w:w="1220"/>
        <w:gridCol w:w="75"/>
      </w:tblGrid>
      <w:tr>
        <w:trPr/>
        <w:tc>
          <w:tcPr>
            <w:tcW w:w="5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8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2024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2023</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18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righ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180" w:type="dxa"/>
            <w:tcBorders/>
            <w:shd w:fill="D5EBF6" w:val="clear"/>
            <w:vAlign w:val="center"/>
          </w:tcPr>
          <w:p>
            <w:pPr>
              <w:pStyle w:val="TableContents"/>
              <w:bidi w:val="0"/>
              <w:spacing w:before="0" w:after="283"/>
              <w:jc w:val="left"/>
              <w:rPr>
                <w:sz w:val="4"/>
                <w:szCs w:val="4"/>
              </w:rPr>
            </w:pPr>
            <w:r>
              <w:rPr>
                <w:sz w:val="4"/>
                <w:szCs w:val="4"/>
              </w:rPr>
            </w:r>
          </w:p>
        </w:tc>
        <w:tc>
          <w:tcPr>
            <w:tcW w:w="1400" w:type="dxa"/>
            <w:gridSpan w:val="4"/>
            <w:tcBorders/>
            <w:shd w:fill="D5EBF6" w:val="clear"/>
            <w:vAlign w:val="center"/>
          </w:tcPr>
          <w:p>
            <w:pPr>
              <w:pStyle w:val="TableContents"/>
              <w:bidi w:val="0"/>
              <w:spacing w:before="0" w:after="283"/>
              <w:jc w:val="left"/>
              <w:rPr>
                <w:sz w:val="4"/>
                <w:szCs w:val="4"/>
              </w:rPr>
            </w:pPr>
            <w:r>
              <w:rPr>
                <w:sz w:val="4"/>
                <w:szCs w:val="4"/>
              </w:rPr>
            </w:r>
          </w:p>
        </w:tc>
        <w:tc>
          <w:tcPr>
            <w:tcW w:w="140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5180" w:type="dxa"/>
            <w:tcBorders/>
            <w:shd w:fill="D5EBF6" w:val="clear"/>
            <w:vAlign w:val="center"/>
          </w:tcPr>
          <w:p>
            <w:pPr>
              <w:pStyle w:val="TableContents"/>
              <w:bidi w:val="0"/>
              <w:spacing w:before="0" w:after="0"/>
              <w:jc w:val="left"/>
              <w:rPr>
                <w:rFonts w:ascii="ARIAL" w:hAnsi="ARIAL"/>
                <w:sz w:val="22"/>
              </w:rPr>
            </w:pPr>
            <w:r>
              <w:rPr>
                <w:rFonts w:ascii="ARIAL" w:hAnsi="ARIAL"/>
                <w:sz w:val="22"/>
              </w:rPr>
              <w:t>Stock Options Granted (A)</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484,115</w:t>
            </w:r>
          </w:p>
        </w:tc>
        <w:tc>
          <w:tcPr>
            <w:tcW w:w="75" w:type="dxa"/>
            <w:tcBorders/>
            <w:shd w:fill="D5EBF6"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left"/>
              <w:rPr>
                <w:rFonts w:ascii="ARIAL" w:hAnsi="ARIAL"/>
                <w:sz w:val="22"/>
              </w:rPr>
            </w:pPr>
            <w:r>
              <w:rPr>
                <w:rFonts w:ascii="ARIAL" w:hAnsi="ARIAL"/>
                <w:sz w:val="22"/>
              </w:rPr>
              <w:t>TRSUs and target PRSUs 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8,478,013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7,607,911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10,522,247</w:t>
            </w:r>
          </w:p>
        </w:tc>
        <w:tc>
          <w:tcPr>
            <w:tcW w:w="75" w:type="dxa"/>
            <w:tcBorders/>
            <w:vAlign w:val="center"/>
          </w:tcPr>
          <w:p>
            <w:pPr>
              <w:pStyle w:val="TableContents"/>
              <w:bidi w:val="0"/>
              <w:spacing w:before="0" w:after="283"/>
              <w:jc w:val="left"/>
              <w:rPr/>
            </w:pPr>
            <w:r>
              <w:rPr/>
              <w:t> </w:t>
            </w:r>
          </w:p>
        </w:tc>
      </w:tr>
      <w:tr>
        <w:trPr/>
        <w:tc>
          <w:tcPr>
            <w:tcW w:w="5180" w:type="dxa"/>
            <w:tcBorders/>
            <w:shd w:fill="D5EBF6" w:val="clear"/>
            <w:vAlign w:val="center"/>
          </w:tcPr>
          <w:p>
            <w:pPr>
              <w:pStyle w:val="TableContents"/>
              <w:bidi w:val="0"/>
              <w:spacing w:before="0" w:after="283"/>
              <w:jc w:val="left"/>
              <w:rPr>
                <w:sz w:val="4"/>
                <w:szCs w:val="4"/>
              </w:rPr>
            </w:pPr>
            <w:r>
              <w:rPr>
                <w:sz w:val="4"/>
                <w:szCs w:val="4"/>
              </w:rPr>
            </w:r>
          </w:p>
        </w:tc>
        <w:tc>
          <w:tcPr>
            <w:tcW w:w="1400" w:type="dxa"/>
            <w:gridSpan w:val="4"/>
            <w:tcBorders/>
            <w:shd w:fill="D5EBF6" w:val="clear"/>
            <w:vAlign w:val="center"/>
          </w:tcPr>
          <w:p>
            <w:pPr>
              <w:pStyle w:val="TableContents"/>
              <w:bidi w:val="0"/>
              <w:spacing w:before="0" w:after="283"/>
              <w:jc w:val="left"/>
              <w:rPr>
                <w:sz w:val="4"/>
                <w:szCs w:val="4"/>
              </w:rPr>
            </w:pPr>
            <w:r>
              <w:rPr>
                <w:sz w:val="4"/>
                <w:szCs w:val="4"/>
              </w:rPr>
            </w:r>
          </w:p>
        </w:tc>
        <w:tc>
          <w:tcPr>
            <w:tcW w:w="140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5180" w:type="dxa"/>
            <w:tcBorders/>
            <w:shd w:fill="D5EBF6" w:val="clear"/>
            <w:vAlign w:val="center"/>
          </w:tcPr>
          <w:p>
            <w:pPr>
              <w:pStyle w:val="TableContents"/>
              <w:bidi w:val="0"/>
              <w:spacing w:before="0" w:after="0"/>
              <w:jc w:val="left"/>
              <w:rPr>
                <w:rFonts w:ascii="ARIAL" w:hAnsi="ARIAL"/>
                <w:sz w:val="22"/>
              </w:rPr>
            </w:pPr>
            <w:r>
              <w:rPr>
                <w:rFonts w:ascii="ARIAL" w:hAnsi="ARIAL"/>
                <w:sz w:val="22"/>
              </w:rPr>
              <w:t>TRSUs Granted (B)</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6,472,462</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5,891,374</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4,397,112</w:t>
            </w:r>
          </w:p>
        </w:tc>
        <w:tc>
          <w:tcPr>
            <w:tcW w:w="75" w:type="dxa"/>
            <w:tcBorders/>
            <w:shd w:fill="D5EBF6"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left"/>
              <w:rPr>
                <w:rFonts w:ascii="ARIAL" w:hAnsi="ARIAL"/>
                <w:sz w:val="22"/>
              </w:rPr>
            </w:pPr>
            <w:r>
              <w:rPr>
                <w:rFonts w:ascii="ARIAL" w:hAnsi="ARIAL"/>
                <w:sz w:val="22"/>
              </w:rPr>
              <w:t>PRSUs Granted (target)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2,005,551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1,716,537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6,125,135</w:t>
            </w:r>
          </w:p>
        </w:tc>
        <w:tc>
          <w:tcPr>
            <w:tcW w:w="75" w:type="dxa"/>
            <w:tcBorders/>
            <w:vAlign w:val="center"/>
          </w:tcPr>
          <w:p>
            <w:pPr>
              <w:pStyle w:val="TableContents"/>
              <w:bidi w:val="0"/>
              <w:spacing w:before="0" w:after="283"/>
              <w:jc w:val="left"/>
              <w:rPr/>
            </w:pPr>
            <w:r>
              <w:rPr/>
              <w:t> </w:t>
            </w:r>
          </w:p>
        </w:tc>
      </w:tr>
      <w:tr>
        <w:trPr/>
        <w:tc>
          <w:tcPr>
            <w:tcW w:w="5180" w:type="dxa"/>
            <w:tcBorders/>
            <w:shd w:fill="D5EBF6" w:val="clear"/>
            <w:vAlign w:val="center"/>
          </w:tcPr>
          <w:p>
            <w:pPr>
              <w:pStyle w:val="TableContents"/>
              <w:bidi w:val="0"/>
              <w:spacing w:before="0" w:after="283"/>
              <w:jc w:val="left"/>
              <w:rPr>
                <w:sz w:val="4"/>
                <w:szCs w:val="4"/>
              </w:rPr>
            </w:pPr>
            <w:r>
              <w:rPr>
                <w:sz w:val="4"/>
                <w:szCs w:val="4"/>
              </w:rPr>
            </w:r>
          </w:p>
        </w:tc>
        <w:tc>
          <w:tcPr>
            <w:tcW w:w="1400" w:type="dxa"/>
            <w:gridSpan w:val="4"/>
            <w:tcBorders/>
            <w:shd w:fill="D5EBF6" w:val="clear"/>
            <w:vAlign w:val="center"/>
          </w:tcPr>
          <w:p>
            <w:pPr>
              <w:pStyle w:val="TableContents"/>
              <w:bidi w:val="0"/>
              <w:spacing w:before="0" w:after="283"/>
              <w:jc w:val="left"/>
              <w:rPr>
                <w:sz w:val="4"/>
                <w:szCs w:val="4"/>
              </w:rPr>
            </w:pPr>
            <w:r>
              <w:rPr>
                <w:sz w:val="4"/>
                <w:szCs w:val="4"/>
              </w:rPr>
            </w:r>
          </w:p>
        </w:tc>
        <w:tc>
          <w:tcPr>
            <w:tcW w:w="140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5180" w:type="dxa"/>
            <w:tcBorders/>
            <w:shd w:fill="D5EBF6" w:val="clear"/>
            <w:vAlign w:val="center"/>
          </w:tcPr>
          <w:p>
            <w:pPr>
              <w:pStyle w:val="TableContents"/>
              <w:bidi w:val="0"/>
              <w:spacing w:before="0" w:after="0"/>
              <w:jc w:val="left"/>
              <w:rPr>
                <w:rFonts w:ascii="ARIAL" w:hAnsi="ARIAL"/>
                <w:sz w:val="22"/>
              </w:rPr>
            </w:pPr>
            <w:r>
              <w:rPr>
                <w:rFonts w:ascii="ARIAL" w:hAnsi="ARIAL"/>
                <w:sz w:val="22"/>
              </w:rPr>
              <w:t>PRSUs Vested/Earned (C)</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1,903,148</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264,279</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497,988</w:t>
            </w:r>
          </w:p>
        </w:tc>
        <w:tc>
          <w:tcPr>
            <w:tcW w:w="75" w:type="dxa"/>
            <w:tcBorders/>
            <w:shd w:fill="D5EBF6"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left"/>
              <w:rPr>
                <w:rFonts w:ascii="ARIAL" w:hAnsi="ARIAL"/>
                <w:sz w:val="22"/>
              </w:rPr>
            </w:pPr>
            <w:r>
              <w:rPr>
                <w:rFonts w:ascii="ARIAL" w:hAnsi="ARIAL"/>
                <w:sz w:val="22"/>
              </w:rPr>
              <w:t>Weighted-Average Common Shares Outstanding (D)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418,226,075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415,488,836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414,129,191</w:t>
            </w:r>
          </w:p>
        </w:tc>
        <w:tc>
          <w:tcPr>
            <w:tcW w:w="75" w:type="dxa"/>
            <w:tcBorders/>
            <w:vAlign w:val="center"/>
          </w:tcPr>
          <w:p>
            <w:pPr>
              <w:pStyle w:val="TableContents"/>
              <w:bidi w:val="0"/>
              <w:spacing w:before="0" w:after="283"/>
              <w:jc w:val="left"/>
              <w:rPr/>
            </w:pPr>
            <w:r>
              <w:rPr/>
              <w:t> </w:t>
            </w:r>
          </w:p>
        </w:tc>
      </w:tr>
      <w:tr>
        <w:trPr/>
        <w:tc>
          <w:tcPr>
            <w:tcW w:w="5180" w:type="dxa"/>
            <w:tcBorders/>
            <w:shd w:fill="D5EBF6" w:val="clear"/>
            <w:vAlign w:val="center"/>
          </w:tcPr>
          <w:p>
            <w:pPr>
              <w:pStyle w:val="TableContents"/>
              <w:bidi w:val="0"/>
              <w:spacing w:before="0" w:after="283"/>
              <w:jc w:val="left"/>
              <w:rPr>
                <w:sz w:val="4"/>
                <w:szCs w:val="4"/>
              </w:rPr>
            </w:pPr>
            <w:r>
              <w:rPr>
                <w:sz w:val="4"/>
                <w:szCs w:val="4"/>
              </w:rPr>
            </w:r>
          </w:p>
        </w:tc>
        <w:tc>
          <w:tcPr>
            <w:tcW w:w="1400" w:type="dxa"/>
            <w:gridSpan w:val="4"/>
            <w:tcBorders/>
            <w:shd w:fill="D5EBF6" w:val="clear"/>
            <w:vAlign w:val="center"/>
          </w:tcPr>
          <w:p>
            <w:pPr>
              <w:pStyle w:val="TableContents"/>
              <w:bidi w:val="0"/>
              <w:spacing w:before="0" w:after="283"/>
              <w:jc w:val="left"/>
              <w:rPr>
                <w:sz w:val="4"/>
                <w:szCs w:val="4"/>
              </w:rPr>
            </w:pPr>
            <w:r>
              <w:rPr>
                <w:sz w:val="4"/>
                <w:szCs w:val="4"/>
              </w:rPr>
            </w:r>
          </w:p>
        </w:tc>
        <w:tc>
          <w:tcPr>
            <w:tcW w:w="1400" w:type="dxa"/>
            <w:gridSpan w:val="4"/>
            <w:tcBorders/>
            <w:shd w:fill="D5EBF6" w:val="clear"/>
            <w:vAlign w:val="center"/>
          </w:tcPr>
          <w:p>
            <w:pPr>
              <w:pStyle w:val="TableContents"/>
              <w:bidi w:val="0"/>
              <w:spacing w:before="0" w:after="283"/>
              <w:jc w:val="left"/>
              <w:rPr>
                <w:sz w:val="4"/>
                <w:szCs w:val="4"/>
              </w:rPr>
            </w:pPr>
            <w:r>
              <w:rPr>
                <w:sz w:val="4"/>
                <w:szCs w:val="4"/>
              </w:rPr>
            </w:r>
          </w:p>
        </w:tc>
        <w:tc>
          <w:tcPr>
            <w:tcW w:w="1415"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5180" w:type="dxa"/>
            <w:tcBorders/>
            <w:shd w:fill="D5EBF6" w:val="clear"/>
            <w:vAlign w:val="center"/>
          </w:tcPr>
          <w:p>
            <w:pPr>
              <w:pStyle w:val="TableContents"/>
              <w:bidi w:val="0"/>
              <w:spacing w:before="0" w:after="0"/>
              <w:jc w:val="left"/>
              <w:rPr>
                <w:rFonts w:ascii="ARIAL" w:hAnsi="ARIAL"/>
                <w:sz w:val="22"/>
              </w:rPr>
            </w:pPr>
            <w:r>
              <w:rPr>
                <w:rFonts w:ascii="ARIAL" w:hAnsi="ARIAL"/>
                <w:sz w:val="22"/>
              </w:rPr>
              <w:t>Burn Rate((A+B+C)/D)</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2.00%</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1.48%</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60" w:type="dxa"/>
            <w:tcBorders/>
            <w:shd w:fill="D5EBF6" w:val="clear"/>
            <w:vAlign w:val="center"/>
          </w:tcPr>
          <w:p>
            <w:pPr>
              <w:pStyle w:val="TableContents"/>
              <w:bidi w:val="0"/>
              <w:spacing w:before="0" w:after="283"/>
              <w:jc w:val="left"/>
              <w:rPr/>
            </w:pPr>
            <w:r>
              <w:rPr/>
              <w:t> </w:t>
            </w:r>
          </w:p>
        </w:tc>
        <w:tc>
          <w:tcPr>
            <w:tcW w:w="1220" w:type="dxa"/>
            <w:tcBorders/>
            <w:shd w:fill="D5EBF6" w:val="clear"/>
            <w:vAlign w:val="center"/>
          </w:tcPr>
          <w:p>
            <w:pPr>
              <w:pStyle w:val="TableContents"/>
              <w:bidi w:val="0"/>
              <w:spacing w:before="0" w:after="283"/>
              <w:jc w:val="center"/>
              <w:rPr/>
            </w:pPr>
            <w:r>
              <w:rPr/>
              <w:t>1.30%</w:t>
            </w:r>
          </w:p>
        </w:tc>
        <w:tc>
          <w:tcPr>
            <w:tcW w:w="75" w:type="dxa"/>
            <w:tcBorders/>
            <w:shd w:fill="D5EBF6"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left"/>
              <w:rPr>
                <w:rFonts w:ascii="ARIAL" w:hAnsi="ARIAL"/>
                <w:sz w:val="22"/>
              </w:rPr>
            </w:pPr>
            <w:r>
              <w:rPr>
                <w:rFonts w:ascii="ARIAL" w:hAnsi="ARIAL"/>
                <w:sz w:val="22"/>
              </w:rPr>
              <w:t>3 year average Burn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518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18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i/>
          <w:color w:val="248EC3"/>
          <w:sz w:val="22"/>
        </w:rPr>
      </w:pPr>
      <w:r>
        <w:rPr>
          <w:rFonts w:ascii="ARIAL" w:hAnsi="ARIAL"/>
          <w:b/>
          <w:i/>
          <w:color w:val="248EC3"/>
          <w:sz w:val="22"/>
        </w:rPr>
        <w:t xml:space="preserve">Anticipated Share Usage </w:t>
      </w:r>
    </w:p>
    <w:p>
      <w:pPr>
        <w:pStyle w:val="TextBody"/>
        <w:bidi w:val="0"/>
        <w:spacing w:before="240" w:after="0"/>
        <w:jc w:val="both"/>
        <w:rPr>
          <w:rFonts w:ascii="ARIAL" w:hAnsi="ARIAL"/>
          <w:sz w:val="22"/>
        </w:rPr>
      </w:pPr>
      <w:r>
        <w:rPr>
          <w:rFonts w:ascii="ARIAL" w:hAnsi="ARIAL"/>
          <w:sz w:val="22"/>
        </w:rPr>
        <w:t xml:space="preserve">In determining the number of shares to request for approval under the 2026 Plan, our management team worked with the Compensation and Human Capital Committee of the Board to evaluate a number of factors, including our recent share usage and criteria expected to be utilized by institutional proxy advisory firms in evaluating our proposal for the 2026 Plan. </w:t>
      </w:r>
    </w:p>
    <w:p>
      <w:pPr>
        <w:pStyle w:val="TextBody"/>
        <w:bidi w:val="0"/>
        <w:spacing w:before="240" w:after="0"/>
        <w:jc w:val="both"/>
        <w:rPr>
          <w:rFonts w:ascii="ARIAL" w:hAnsi="ARIAL"/>
          <w:sz w:val="22"/>
        </w:rPr>
      </w:pPr>
      <w:r>
        <w:rPr>
          <w:rFonts w:ascii="ARIAL" w:hAnsi="ARIAL"/>
          <w:sz w:val="22"/>
        </w:rPr>
        <w:t xml:space="preserve">We currently anticipate that the shares available for issuance following the approval of the 2026 Plan will last for about 1-2 years, based on our historic grant rates and the approximate current share price, but could last for a different period of time if actual practice does not match recent rates or our share price changes materially. </w:t>
      </w:r>
    </w:p>
    <w:p>
      <w:pPr>
        <w:pStyle w:val="TextBody"/>
        <w:bidi w:val="0"/>
        <w:spacing w:before="240" w:after="0"/>
        <w:jc w:val="both"/>
        <w:rPr>
          <w:rFonts w:ascii="ARIAL" w:hAnsi="ARIAL"/>
          <w:sz w:val="22"/>
        </w:rPr>
      </w:pPr>
      <w:r>
        <w:rPr>
          <w:rFonts w:ascii="ARIAL" w:hAnsi="ARIAL"/>
          <w:sz w:val="22"/>
        </w:rPr>
        <w:t xml:space="preserve">We believe that we have demonstrated a commitment to sound equity compensation practices in recent years. We recognize that equity compensation awards dilute stockholders’ equity, so we have carefully managed our equity incentive compensation. Our equity compensation practices are intended to be competitive and consistent with market practices, and we believe our historical share usage has been responsible and mindful of stockholder interests, as described above. </w:t>
      </w:r>
    </w:p>
    <w:p>
      <w:pPr>
        <w:pStyle w:val="TextBody"/>
        <w:bidi w:val="0"/>
        <w:spacing w:before="360" w:after="0"/>
        <w:jc w:val="left"/>
        <w:rPr>
          <w:rFonts w:ascii="ARIAL" w:hAnsi="ARIAL"/>
          <w:b/>
          <w:color w:val="248EC3"/>
          <w:sz w:val="22"/>
        </w:rPr>
      </w:pPr>
      <w:r>
        <w:rPr>
          <w:rFonts w:ascii="ARIAL" w:hAnsi="ARIAL"/>
          <w:b/>
          <w:color w:val="248EC3"/>
          <w:sz w:val="22"/>
        </w:rPr>
        <w:t xml:space="preserve">SUMMARY OF 2026 PLAN </w:t>
      </w:r>
    </w:p>
    <w:p>
      <w:pPr>
        <w:pStyle w:val="TextBody"/>
        <w:bidi w:val="0"/>
        <w:spacing w:before="240" w:after="0"/>
        <w:jc w:val="both"/>
        <w:rPr>
          <w:rFonts w:ascii="ARIAL" w:hAnsi="ARIAL"/>
          <w:sz w:val="22"/>
        </w:rPr>
      </w:pPr>
      <w:r>
        <w:rPr>
          <w:rFonts w:ascii="ARIAL" w:hAnsi="ARIAL"/>
          <w:sz w:val="22"/>
        </w:rPr>
        <w:t xml:space="preserve">The following is a summary of the basic features of the 2026 Plan. This summary and the other descriptions of the 2026 Plan in this proposal are qualified by reference to the actual text of the 2026 Plan, which is attached as Appendix A to this Proxy Statement. </w:t>
      </w:r>
    </w:p>
    <w:p>
      <w:pPr>
        <w:pStyle w:val="TextBody"/>
        <w:bidi w:val="0"/>
        <w:spacing w:before="240" w:after="0"/>
        <w:jc w:val="left"/>
        <w:rPr>
          <w:rFonts w:ascii="ARIAL" w:hAnsi="ARIAL"/>
          <w:b/>
          <w:i/>
          <w:color w:val="248EC3"/>
          <w:sz w:val="22"/>
        </w:rPr>
      </w:pPr>
      <w:r>
        <w:rPr>
          <w:rFonts w:ascii="ARIAL" w:hAnsi="ARIAL"/>
          <w:b/>
          <w:i/>
          <w:color w:val="248EC3"/>
          <w:sz w:val="22"/>
        </w:rPr>
        <w:t xml:space="preserve">Administration </w:t>
      </w:r>
    </w:p>
    <w:p>
      <w:pPr>
        <w:pStyle w:val="TextBody"/>
        <w:bidi w:val="0"/>
        <w:spacing w:before="240" w:after="0"/>
        <w:jc w:val="both"/>
        <w:rPr>
          <w:rFonts w:ascii="ARIAL" w:hAnsi="ARIAL"/>
          <w:sz w:val="22"/>
        </w:rPr>
      </w:pPr>
      <w:r>
        <w:rPr>
          <w:rFonts w:ascii="ARIAL" w:hAnsi="ARIAL"/>
          <w:sz w:val="22"/>
        </w:rPr>
        <w:t xml:space="preserve">The 2026 Plan will generally be administered by the Compensation and Human Capital Committee of the Board (or its successor), the Board or any other committee or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subcommittee as may be designated by the Board or the Compensation and Human Capital Committee from time to time. References to the “Committee” in this Proposal 4 refer to the Compensation and Human Capital Committee of the Board or such other committee, as applicable. Any interpretation, construction and determination by the Committee of any provision of the 2026 Plan, or any award agreements (or related documents), will be final and conclusive. To the extent permitted by applicable law, the Committee may delegate to one or more of its members or to one or more officers, or to one or more of our agents or advisors, such administrative duties or powers as it deems advisable. In addition, the Committee may by resolution, subject to certain restrictions set forth in the 2026 Plan, authorize one or more of our officers to (1) designate employees to be recipients of awards under the 2026 Plan and (2) determine the size of such awards. However, the Committee may not delegate such responsibilities to our officers for awards granted to certain employees or other persons who are subject to the reporting requirements of Section 16 of the Exchange Act. </w:t>
      </w:r>
    </w:p>
    <w:p>
      <w:pPr>
        <w:pStyle w:val="TextBody"/>
        <w:bidi w:val="0"/>
        <w:spacing w:before="240" w:after="0"/>
        <w:jc w:val="left"/>
        <w:rPr>
          <w:rFonts w:ascii="ARIAL" w:hAnsi="ARIAL"/>
          <w:b/>
          <w:i/>
          <w:color w:val="248EC3"/>
          <w:sz w:val="22"/>
        </w:rPr>
      </w:pPr>
      <w:r>
        <w:rPr>
          <w:rFonts w:ascii="ARIAL" w:hAnsi="ARIAL"/>
          <w:b/>
          <w:i/>
          <w:color w:val="248EC3"/>
          <w:sz w:val="22"/>
        </w:rPr>
        <w:t xml:space="preserve">Eligibility </w:t>
      </w:r>
    </w:p>
    <w:p>
      <w:pPr>
        <w:pStyle w:val="TextBody"/>
        <w:bidi w:val="0"/>
        <w:spacing w:before="240" w:after="0"/>
        <w:jc w:val="both"/>
        <w:rPr>
          <w:rFonts w:ascii="ARIAL" w:hAnsi="ARIAL"/>
          <w:sz w:val="22"/>
        </w:rPr>
      </w:pPr>
      <w:r>
        <w:rPr>
          <w:rFonts w:ascii="ARIAL" w:hAnsi="ARIAL"/>
          <w:sz w:val="22"/>
        </w:rPr>
        <w:t>Any person who is selected by the Committee to receive benefits under the 2026 Plan and who is at that time either an employee or non-employee director of the Company or any of our subsidiaries (as described and defined in the 2026 Plan) is eligible to participate in the 2026 Plan. As of December 31, 2025, there were approximately 22,000 employees and 8 non-employee directors of the Company eligible to participate in the Prior Plan. The basis for participation in the 2026 Plan is being eligible and selected by the Committee or its designee to receive a grant thereunder. Approximately 480 of our employees participate in our annual long-term incentive award program under the Prior Plan.</w:t>
      </w:r>
    </w:p>
    <w:p>
      <w:pPr>
        <w:pStyle w:val="TextBody"/>
        <w:bidi w:val="0"/>
        <w:spacing w:before="240" w:after="0"/>
        <w:jc w:val="left"/>
        <w:rPr>
          <w:rFonts w:ascii="ARIAL" w:hAnsi="ARIAL"/>
          <w:b/>
          <w:i/>
          <w:color w:val="248EC3"/>
          <w:sz w:val="22"/>
        </w:rPr>
      </w:pPr>
      <w:r>
        <w:rPr>
          <w:rFonts w:ascii="ARIAL" w:hAnsi="ARIAL"/>
          <w:b/>
          <w:i/>
          <w:color w:val="248EC3"/>
          <w:sz w:val="22"/>
        </w:rPr>
        <w:t xml:space="preserve">Shares Available and Individual Award Limits </w:t>
      </w:r>
    </w:p>
    <w:p>
      <w:pPr>
        <w:pStyle w:val="TextBody"/>
        <w:bidi w:val="0"/>
        <w:spacing w:before="240" w:after="0"/>
        <w:jc w:val="both"/>
        <w:rPr>
          <w:rFonts w:ascii="ARIAL" w:hAnsi="ARIAL"/>
          <w:sz w:val="22"/>
        </w:rPr>
      </w:pPr>
      <w:r>
        <w:rPr>
          <w:rFonts w:ascii="ARIAL" w:hAnsi="ARIAL"/>
          <w:sz w:val="22"/>
        </w:rPr>
        <w:t>Subject to adjustment as described in the 2026 Plan, the aggregate number of shares of our common stock available for awards granted under the 2026 Plan is limited to 19,250,000 shares of our common stock (minus any shares with respect to awards granted under the Prior Plan after March 5, 2026 but prior to the approval of the 2026 Plan), plus any shares of our common stock that become available under the 2026 Plan, the Prior Plan or the Company’s 2013 Incentive Plan (the “</w:t>
      </w:r>
      <w:r>
        <w:rPr>
          <w:rFonts w:ascii="ARIAL" w:hAnsi="ARIAL"/>
          <w:b/>
          <w:sz w:val="22"/>
        </w:rPr>
        <w:t>2013 Plan</w:t>
      </w:r>
      <w:r>
        <w:rPr>
          <w:rFonts w:ascii="ARIAL" w:hAnsi="ARIAL"/>
          <w:sz w:val="22"/>
        </w:rPr>
        <w:t xml:space="preserve">”) as a result of forfeiture, cancellation, expiration or cash settlement of awards. Shares used to satisfy withholding obligations or the exercise price on any award granted under the 2026 Plan will not be available for further awards. Any shares subject to an award, to the extent the award is settled in cash, will be available for further awards under the 2026 Plan. Any shares subject to a stock-settled stock appreciation right that are not actually issued upon settlement of such award and shares repurchased by us on the open market with the proceeds of an option exercise will not be available for future issuance under the 2026 Plan. Shares of our common stock delivered in respect of grants under the 2026 Plan may be shares of original issuance, treasury shares or a combination of the two. </w:t>
      </w:r>
    </w:p>
    <w:p>
      <w:pPr>
        <w:pStyle w:val="TextBody"/>
        <w:bidi w:val="0"/>
        <w:spacing w:before="240" w:after="0"/>
        <w:jc w:val="both"/>
        <w:rPr>
          <w:rFonts w:ascii="ARIAL" w:hAnsi="ARIAL"/>
          <w:sz w:val="22"/>
        </w:rPr>
      </w:pPr>
      <w:r>
        <w:rPr>
          <w:rFonts w:ascii="ARIAL" w:hAnsi="ARIAL"/>
          <w:sz w:val="22"/>
        </w:rPr>
        <w:t xml:space="preserve">All awards granted under the 2026 Plan will be counted against the maximum share limit as one share of our common stock for each share subject to the award. If shares subject to full value awards granted under the Prior Plan or 2013 Plan become available for future awards under the recycling features described above, such undelivered shares shall be credited back to the maximum share limit on a one-for-one basis.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Subject to adjustment as described in the 2026 Plan, the 2026 Plan also provides for the following limits: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the maximum number of shares of our common stock that may be subject to “incentive stock options” as defined in Section 422 of the Internal Revenue Code (the “</w:t>
            </w:r>
            <w:r>
              <w:rPr>
                <w:rFonts w:ascii="ARIAL" w:hAnsi="ARIAL"/>
                <w:b/>
                <w:sz w:val="22"/>
              </w:rPr>
              <w:t>Code</w:t>
            </w:r>
            <w:r>
              <w:rPr>
                <w:rFonts w:ascii="ARIAL" w:hAnsi="ARIAL"/>
                <w:sz w:val="22"/>
              </w:rPr>
              <w:t xml:space="preserve">”) will not exceed 19,250,000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no non-employee director will be granted, in any period of one calendar year, an award with a grant value that, when added to any cash fees payable to such non-employee director for such service in such calendar year exceeds $1,000,000 (or, for a non-executive chair of the Board, $2,000,000);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2"/>
              </w:rPr>
            </w:pPr>
            <w:r>
              <w:rPr>
                <w:rFonts w:ascii="ARIAL" w:hAnsi="ARIAL"/>
                <w:sz w:val="22"/>
              </w:rPr>
              <w:t xml:space="preserve">up to 5% of the maximum number of shares of our common stock available for awards under the 2026 Plan may be used for awards under the 2026 Plan that do not at the grant date comply with the one-year minimum vesting or performance period requirements applicable to such awards. </w:t>
            </w:r>
          </w:p>
        </w:tc>
      </w:tr>
    </w:tbl>
    <w:p>
      <w:pPr>
        <w:pStyle w:val="TextBody"/>
        <w:bidi w:val="0"/>
        <w:spacing w:before="240" w:after="0"/>
        <w:jc w:val="both"/>
        <w:rPr>
          <w:rFonts w:ascii="ARIAL" w:hAnsi="ARIAL"/>
          <w:sz w:val="22"/>
        </w:rPr>
      </w:pPr>
      <w:r>
        <w:rPr>
          <w:rFonts w:ascii="ARIAL" w:hAnsi="ARIAL"/>
          <w:sz w:val="22"/>
        </w:rPr>
        <w:t xml:space="preserve">Any shares (i) delivered to a participant in exchange for the participant’s right to receive cash compensation, (ii) issued pursuant to certain substitute awards granted under the 2026 Plan to participants of a company acquired by the Company or (iii) subject to an award that may only be settled in cash (or otherwise settled without the issuance of equity) will not count against the maximum share limit of the 2026 Plan. </w:t>
      </w:r>
    </w:p>
    <w:p>
      <w:pPr>
        <w:pStyle w:val="TextBody"/>
        <w:bidi w:val="0"/>
        <w:spacing w:before="240" w:after="0"/>
        <w:jc w:val="left"/>
        <w:rPr>
          <w:rFonts w:ascii="ARIAL" w:hAnsi="ARIAL"/>
          <w:b/>
          <w:i/>
          <w:color w:val="248EC3"/>
          <w:sz w:val="22"/>
        </w:rPr>
      </w:pPr>
      <w:r>
        <w:rPr>
          <w:rFonts w:ascii="ARIAL" w:hAnsi="ARIAL"/>
          <w:b/>
          <w:i/>
          <w:color w:val="248EC3"/>
          <w:sz w:val="22"/>
        </w:rPr>
        <w:t xml:space="preserve">Types of Awards </w:t>
      </w:r>
    </w:p>
    <w:p>
      <w:pPr>
        <w:pStyle w:val="TextBody"/>
        <w:bidi w:val="0"/>
        <w:spacing w:before="240" w:after="0"/>
        <w:jc w:val="both"/>
        <w:rPr>
          <w:rFonts w:ascii="ARIAL" w:hAnsi="ARIAL"/>
          <w:sz w:val="22"/>
        </w:rPr>
      </w:pPr>
      <w:r>
        <w:rPr>
          <w:rFonts w:ascii="ARIAL" w:hAnsi="ARIAL"/>
          <w:sz w:val="22"/>
        </w:rPr>
        <w:t xml:space="preserve">Pursuant to the 2026 Plan, we may grant stock options (including incentive stock options), stock appreciation rights, stock awards, stock units, cash incentive awards, and certain other awards based on or related to our common stock. Each grant of an award under the 2026 Plan will be evidenced by an award agreement, which will contain such terms and provisions as the Committee may determine, consistent with the 2026 Plan. Award agreements will specify the restrictions, terms and conditions of the awards (which may include the attainment of performance goals) and may provide for continued vesting or earlier vesting of an award in the event of the participant’s termination of service to the Company and its subsidiaries or in the event of a change in control. </w:t>
      </w:r>
    </w:p>
    <w:p>
      <w:pPr>
        <w:pStyle w:val="TextBody"/>
        <w:bidi w:val="0"/>
        <w:spacing w:before="240" w:after="0"/>
        <w:jc w:val="left"/>
        <w:rPr>
          <w:rFonts w:ascii="ARIAL" w:hAnsi="ARIAL"/>
          <w:i/>
          <w:sz w:val="22"/>
          <w:u w:val="single"/>
        </w:rPr>
      </w:pPr>
      <w:r>
        <w:rPr>
          <w:rFonts w:ascii="ARIAL" w:hAnsi="ARIAL"/>
          <w:i/>
          <w:sz w:val="22"/>
          <w:u w:val="single"/>
        </w:rPr>
        <w:t xml:space="preserve">Stock Options </w:t>
      </w:r>
    </w:p>
    <w:p>
      <w:pPr>
        <w:pStyle w:val="TextBody"/>
        <w:bidi w:val="0"/>
        <w:spacing w:before="240" w:after="0"/>
        <w:jc w:val="both"/>
        <w:rPr>
          <w:rFonts w:ascii="ARIAL" w:hAnsi="ARIAL"/>
          <w:sz w:val="22"/>
        </w:rPr>
      </w:pPr>
      <w:r>
        <w:rPr>
          <w:rFonts w:ascii="ARIAL" w:hAnsi="ARIAL"/>
          <w:sz w:val="22"/>
        </w:rPr>
        <w:t xml:space="preserve">A stock option is a right to purchase shares of our common stock upon exercise of the stock option. Stock options granted under the 2026 Plan may consist of either an incentive stock option, a non-qualified stock option that is not intended to be an “incentive stock option” under Section 422 of the Code, or a combination of both. Incentive stock options may only be granted to employees of the Company or certain of our related corporations. Except as provided in the 2026 Plan, stock options must have an exercise price per share of our common stock that is not less than 100% of the fair market value of a share of our common stock on the date of grant. The term of a stock option may not extend more than 10 years from the date of grant. Stock options granted under the 2026 Plan may not provide for dividends or dividend equivalents.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u w:val="single"/>
        </w:rPr>
      </w:pPr>
      <w:r>
        <w:rPr>
          <w:rFonts w:ascii="ARIAL" w:hAnsi="ARIAL"/>
          <w:i/>
          <w:sz w:val="22"/>
          <w:u w:val="single"/>
        </w:rPr>
        <w:t xml:space="preserve">Stock Appreciation Rights </w:t>
      </w:r>
    </w:p>
    <w:p>
      <w:pPr>
        <w:pStyle w:val="TextBody"/>
        <w:bidi w:val="0"/>
        <w:spacing w:before="240" w:after="0"/>
        <w:jc w:val="both"/>
        <w:rPr>
          <w:rFonts w:ascii="ARIAL" w:hAnsi="ARIAL"/>
          <w:sz w:val="22"/>
        </w:rPr>
      </w:pPr>
      <w:r>
        <w:rPr>
          <w:rFonts w:ascii="ARIAL" w:hAnsi="ARIAL"/>
          <w:sz w:val="22"/>
        </w:rPr>
        <w:t>A stock appreciation right (or “</w:t>
      </w:r>
      <w:r>
        <w:rPr>
          <w:rFonts w:ascii="ARIAL" w:hAnsi="ARIAL"/>
          <w:b/>
          <w:sz w:val="22"/>
        </w:rPr>
        <w:t>SAR</w:t>
      </w:r>
      <w:r>
        <w:rPr>
          <w:rFonts w:ascii="ARIAL" w:hAnsi="ARIAL"/>
          <w:sz w:val="22"/>
        </w:rPr>
        <w:t xml:space="preserve">”) is a right to receive from us an amount (payable in cash or in shares of our common stock, or a combination thereof) equal to the spread between the fair market value of a share of our common stock on the date of exercise and the exercise price of the SAR. Except as provided in the 2026 Plan, the exercise price of a SAR will be 100% of the fair market value of a share of common stock on the date of grant. The term of a SAR may not extend more than 10 years from the date of grant. SARs granted under the 2026 Plan may not provide for dividends or dividend equivalents. </w:t>
      </w:r>
    </w:p>
    <w:p>
      <w:pPr>
        <w:pStyle w:val="TextBody"/>
        <w:bidi w:val="0"/>
        <w:spacing w:before="240" w:after="0"/>
        <w:jc w:val="left"/>
        <w:rPr>
          <w:rFonts w:ascii="ARIAL" w:hAnsi="ARIAL"/>
          <w:i/>
          <w:sz w:val="22"/>
          <w:u w:val="single"/>
        </w:rPr>
      </w:pPr>
      <w:r>
        <w:rPr>
          <w:rFonts w:ascii="ARIAL" w:hAnsi="ARIAL"/>
          <w:i/>
          <w:sz w:val="22"/>
          <w:u w:val="single"/>
        </w:rPr>
        <w:t xml:space="preserve">Stock Awards </w:t>
      </w:r>
    </w:p>
    <w:p>
      <w:pPr>
        <w:pStyle w:val="TextBody"/>
        <w:bidi w:val="0"/>
        <w:spacing w:before="240" w:after="0"/>
        <w:jc w:val="both"/>
        <w:rPr>
          <w:rFonts w:ascii="ARIAL" w:hAnsi="ARIAL"/>
          <w:sz w:val="22"/>
        </w:rPr>
      </w:pPr>
      <w:r>
        <w:rPr>
          <w:rFonts w:ascii="ARIAL" w:hAnsi="ARIAL"/>
          <w:sz w:val="22"/>
        </w:rPr>
        <w:t xml:space="preserve">Stock awards constitute an immediate transfer of the ownership of shares of our common stock to the participant in consideration of the performance of services, entitling such participant to voting, dividend and other ownership rights, subject to the substantial risk of forfeiture and restrictions on transfer determined by the Committee for a period of time determined by the Committee or until certain performance goals specified by the Committee are achieved. Each such grant or sale of a stock award may be made without additional consideration or in consideration of a payment by the participant of an amount of cash, common stock or other consideration as the Committee deems appropriate. All dividends or other distributions paid on a stock award that remains subject to a substantial risk of forfeiture will be accumulated and held and the accumulated amounts will be paid to the participant only upon the lapse of restrictions underlying the stock award. </w:t>
      </w:r>
    </w:p>
    <w:p>
      <w:pPr>
        <w:pStyle w:val="TextBody"/>
        <w:bidi w:val="0"/>
        <w:spacing w:before="240" w:after="0"/>
        <w:jc w:val="left"/>
        <w:rPr>
          <w:rFonts w:ascii="ARIAL" w:hAnsi="ARIAL"/>
          <w:i/>
          <w:sz w:val="22"/>
          <w:u w:val="single"/>
        </w:rPr>
      </w:pPr>
      <w:r>
        <w:rPr>
          <w:rFonts w:ascii="ARIAL" w:hAnsi="ARIAL"/>
          <w:i/>
          <w:sz w:val="22"/>
          <w:u w:val="single"/>
        </w:rPr>
        <w:t xml:space="preserve">Stock Units </w:t>
      </w:r>
    </w:p>
    <w:p>
      <w:pPr>
        <w:pStyle w:val="TextBody"/>
        <w:bidi w:val="0"/>
        <w:spacing w:before="240" w:after="0"/>
        <w:jc w:val="both"/>
        <w:rPr>
          <w:rFonts w:ascii="ARIAL" w:hAnsi="ARIAL"/>
          <w:sz w:val="22"/>
        </w:rPr>
      </w:pPr>
      <w:r>
        <w:rPr>
          <w:rFonts w:ascii="ARIAL" w:hAnsi="ARIAL"/>
          <w:sz w:val="22"/>
        </w:rPr>
        <w:t xml:space="preserve">Stock units (or RSUs) awarded under the 2026 Plan constitute an agreement by the Company to deliver shares of common stock or cash equal to the fair market value of such shares of common stock, to the participant in the future in consideration of the performance of services, but subject to the fulfillment of such conditions (which may include the achievement of performance goals) during the restriction period as the Committee may specify. During the restriction period applicable to RSUs, the participant will have no rights of ownership in the shares of our common stock deliverable upon payment of the RSUs and no right to vote them. A stock unit award may provide that an amount equal to dividends or other distributions paid on such stock unit award that remains subject to a substantial risk of forfeiture will be accumulated and held and the accumulated amounts will be paid to the participant only upon the lapse of restrictions underlying the stock unit award. </w:t>
      </w:r>
    </w:p>
    <w:p>
      <w:pPr>
        <w:pStyle w:val="TextBody"/>
        <w:bidi w:val="0"/>
        <w:spacing w:before="240" w:after="0"/>
        <w:jc w:val="left"/>
        <w:rPr>
          <w:rFonts w:ascii="ARIAL" w:hAnsi="ARIAL"/>
          <w:i/>
          <w:sz w:val="22"/>
          <w:u w:val="single"/>
        </w:rPr>
      </w:pPr>
      <w:r>
        <w:rPr>
          <w:rFonts w:ascii="ARIAL" w:hAnsi="ARIAL"/>
          <w:i/>
          <w:sz w:val="22"/>
          <w:u w:val="single"/>
        </w:rPr>
        <w:t xml:space="preserve">Other Awards </w:t>
      </w:r>
    </w:p>
    <w:p>
      <w:pPr>
        <w:pStyle w:val="TextBody"/>
        <w:bidi w:val="0"/>
        <w:spacing w:before="240" w:after="0"/>
        <w:jc w:val="both"/>
        <w:rPr>
          <w:rFonts w:ascii="ARIAL" w:hAnsi="ARIAL"/>
          <w:sz w:val="22"/>
        </w:rPr>
      </w:pPr>
      <w:r>
        <w:rPr>
          <w:rFonts w:ascii="ARIAL" w:hAnsi="ARIAL"/>
          <w:sz w:val="22"/>
        </w:rPr>
        <w:t>Subject to applicable law and applicable share limits under the 2026 Plan, the Committee may grant to any participant other awards (“</w:t>
      </w:r>
      <w:r>
        <w:rPr>
          <w:rFonts w:ascii="ARIAL" w:hAnsi="ARIAL"/>
          <w:b/>
          <w:sz w:val="22"/>
        </w:rPr>
        <w:t>Other Awards</w:t>
      </w:r>
      <w:r>
        <w:rPr>
          <w:rFonts w:ascii="ARIAL" w:hAnsi="ARIAL"/>
          <w:sz w:val="22"/>
        </w:rPr>
        <w:t xml:space="preserve">”) consisting of (a) cash incentive awards or (b) shares of our common stock or such other awards that may be denominated or payable in, valued in whole or in part by reference to, or otherwise based on, or related to, our common stock or factors that may influence the value of such common stock. An Other Award may provide that dividends or other distributions paid on such award that remains subject to a substantial risk of forfeiture will be accumulated and held and the accumulated amounts will be paid to the participant only upon the lapse of restrictions underlying the Other Award.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color w:val="248EC3"/>
          <w:sz w:val="22"/>
        </w:rPr>
      </w:pPr>
      <w:r>
        <w:rPr>
          <w:rFonts w:ascii="ARIAL" w:hAnsi="ARIAL"/>
          <w:b/>
          <w:i/>
          <w:color w:val="248EC3"/>
          <w:sz w:val="22"/>
        </w:rPr>
        <w:t xml:space="preserve">Performance-Based Awards </w:t>
      </w:r>
    </w:p>
    <w:p>
      <w:pPr>
        <w:pStyle w:val="TextBody"/>
        <w:bidi w:val="0"/>
        <w:spacing w:before="240" w:after="0"/>
        <w:jc w:val="both"/>
        <w:rPr>
          <w:rFonts w:ascii="ARIAL" w:hAnsi="ARIAL"/>
          <w:sz w:val="22"/>
        </w:rPr>
      </w:pPr>
      <w:r>
        <w:rPr>
          <w:rFonts w:ascii="ARIAL" w:hAnsi="ARIAL"/>
          <w:sz w:val="22"/>
        </w:rPr>
        <w:t xml:space="preserve">The 2026 Plan generally provides that any of the awards may include the attainment of performance goals as a condition to the vesting or payment thereof. Performance goals may include one or more performance factors or business criteria including but not limited to those on the non-exhaustive list contained in the 2026 Plan, which goals may be with respect to the Company or any one or more of its subsidiaries or business units. The Committee may compute any performance measure to exclude certain items or events and may modify the performance goals, targets or achievement thereof as the Committee deems appropriate to reflect a change in the Company’s business, operations, corporate or capital structure, or the manner in which it conducts business, or other events or circumstances that render the original goals unsuitable. </w:t>
      </w:r>
    </w:p>
    <w:p>
      <w:pPr>
        <w:pStyle w:val="TextBody"/>
        <w:bidi w:val="0"/>
        <w:spacing w:before="240" w:after="0"/>
        <w:jc w:val="left"/>
        <w:rPr>
          <w:rFonts w:ascii="ARIAL" w:hAnsi="ARIAL"/>
          <w:b/>
          <w:i/>
          <w:color w:val="248EC3"/>
          <w:sz w:val="22"/>
        </w:rPr>
      </w:pPr>
      <w:r>
        <w:rPr>
          <w:rFonts w:ascii="ARIAL" w:hAnsi="ARIAL"/>
          <w:b/>
          <w:i/>
          <w:color w:val="248EC3"/>
          <w:sz w:val="22"/>
        </w:rPr>
        <w:t xml:space="preserve">Awards to Non U.S. Participants </w:t>
      </w:r>
    </w:p>
    <w:p>
      <w:pPr>
        <w:pStyle w:val="TextBody"/>
        <w:bidi w:val="0"/>
        <w:spacing w:before="240" w:after="0"/>
        <w:jc w:val="both"/>
        <w:rPr>
          <w:rFonts w:ascii="ARIAL" w:hAnsi="ARIAL"/>
          <w:sz w:val="22"/>
        </w:rPr>
      </w:pPr>
      <w:r>
        <w:rPr>
          <w:rFonts w:ascii="ARIAL" w:hAnsi="ARIAL"/>
          <w:sz w:val="22"/>
        </w:rPr>
        <w:t xml:space="preserve">In order to facilitate the making of any grant or combination of grants under the 2026 Plan, the Committee may provide for such special terms for awards to participants as the Committee may consider necessary or appropriate to accommodate differences in local law, tax policy or custom given that participants are expected to be foreign nationals, or to be employed by the Company or any subsidiary of the Company outside of the United States of America, or to operate under an agreement with a foreign nation or agency. The Committee may approve such supplements to, or amendments, restatements or alternative versions of, the 2026 Plan (including sub-plans) (to be considered part of the 2026 Plan) as it may consider necessary or appropriate for such purposes, provided that no such special terms, supplements, amendments or restatements will include any provisions that are inconsistent with the terms of the 2026 Plan as then in effect unless the 2026 Plan could have been amended to eliminate such inconsistency without further approval by our stockholders. </w:t>
      </w:r>
    </w:p>
    <w:p>
      <w:pPr>
        <w:pStyle w:val="TextBody"/>
        <w:bidi w:val="0"/>
        <w:spacing w:before="240" w:after="0"/>
        <w:jc w:val="left"/>
        <w:rPr>
          <w:rFonts w:ascii="ARIAL" w:hAnsi="ARIAL"/>
          <w:b/>
          <w:i/>
          <w:color w:val="248EC3"/>
          <w:sz w:val="22"/>
        </w:rPr>
      </w:pPr>
      <w:r>
        <w:rPr>
          <w:rFonts w:ascii="ARIAL" w:hAnsi="ARIAL"/>
          <w:b/>
          <w:i/>
          <w:color w:val="248EC3"/>
          <w:sz w:val="22"/>
        </w:rPr>
        <w:t xml:space="preserve">Adjustments </w:t>
      </w:r>
    </w:p>
    <w:p>
      <w:pPr>
        <w:pStyle w:val="TextBody"/>
        <w:bidi w:val="0"/>
        <w:spacing w:before="240" w:after="0"/>
        <w:jc w:val="both"/>
        <w:rPr>
          <w:rFonts w:ascii="ARIAL" w:hAnsi="ARIAL"/>
          <w:sz w:val="22"/>
        </w:rPr>
      </w:pPr>
      <w:r>
        <w:rPr>
          <w:rFonts w:ascii="ARIAL" w:hAnsi="ARIAL"/>
          <w:sz w:val="22"/>
        </w:rPr>
        <w:t xml:space="preserve">In the event of any reorganization, recapitalization, stock split, stock distribution, extraordinary cash dividend, stock dividend, merger, consolidation, split-up, spin-off, combination, subdivision, consolidation or exchange of shares, any change in the capital structure of the Company or any similar corporate transaction, the Committee will make or provide for such adjustments in: (1) the number of and kind of shares of our common stock reserved for issuance under the 2026 Plan; (2) the number of and kind of shares of our common stock covered by outstanding awards granted under the 2026 Plan; (3) the exercise price provided in outstanding stock options and SARs; (4) adjustments to other share limits in the 2026 Plan; and (5) other award terms, as the Committee in its sole discretion, determines to be equitable under the circumstances to preserve the benefits or intended benefits under the 2026 Plan and awards granted thereunder. </w:t>
      </w:r>
    </w:p>
    <w:p>
      <w:pPr>
        <w:pStyle w:val="TextBody"/>
        <w:bidi w:val="0"/>
        <w:spacing w:before="240" w:after="0"/>
        <w:jc w:val="both"/>
        <w:rPr>
          <w:rFonts w:ascii="ARIAL" w:hAnsi="ARIAL"/>
          <w:sz w:val="22"/>
        </w:rPr>
      </w:pPr>
      <w:r>
        <w:rPr>
          <w:rFonts w:ascii="ARIAL" w:hAnsi="ARIAL"/>
          <w:sz w:val="22"/>
        </w:rPr>
        <w:t xml:space="preserve">In the event of a change in control of the Company, subject to the change in control treatment described below, the Committee may provide in substitution for any or all outstanding awards under the 2026 Plan such alternative consideration (including cash), if any, as it may in good faith determine to be equitable under the circumstances and will require in connection therewith the surrender of all awards so replaced. In addition, for each stock option or SAR with an exercise price greater than the per share consideration offered in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connection with any change in control of the Company, the Committee may in its discretion elect to cancel such stock option or SAR without any payment to the person holding such stock option or SAR. However, stock options and SARs are only subject to such adjustments as are necessary to maintain their relative proportionate interests and value as of immediately prior to the change in control, in accordance with applicable law. </w:t>
      </w:r>
    </w:p>
    <w:p>
      <w:pPr>
        <w:pStyle w:val="TextBody"/>
        <w:bidi w:val="0"/>
        <w:spacing w:before="240" w:after="0"/>
        <w:jc w:val="left"/>
        <w:rPr>
          <w:rFonts w:ascii="ARIAL" w:hAnsi="ARIAL"/>
          <w:b/>
          <w:i/>
          <w:color w:val="248EC3"/>
          <w:sz w:val="22"/>
        </w:rPr>
      </w:pPr>
      <w:r>
        <w:rPr>
          <w:rFonts w:ascii="ARIAL" w:hAnsi="ARIAL"/>
          <w:b/>
          <w:i/>
          <w:color w:val="248EC3"/>
          <w:sz w:val="22"/>
        </w:rPr>
        <w:t xml:space="preserve">Recoupment Policy </w:t>
      </w:r>
    </w:p>
    <w:p>
      <w:pPr>
        <w:pStyle w:val="TextBody"/>
        <w:bidi w:val="0"/>
        <w:spacing w:before="240" w:after="0"/>
        <w:jc w:val="both"/>
        <w:rPr>
          <w:rFonts w:ascii="ARIAL" w:hAnsi="ARIAL"/>
          <w:sz w:val="22"/>
        </w:rPr>
      </w:pPr>
      <w:r>
        <w:rPr>
          <w:rFonts w:ascii="ARIAL" w:hAnsi="ARIAL"/>
          <w:sz w:val="22"/>
        </w:rPr>
        <w:t>In 2023, the Board adopted the Clawback Policy, pursuant to SEC and Nasdaq requirements. The Clawback Policy provides that, in the event that the Company is required to prepare an accounting restatement due to material noncompliance with any financial reporting requirement under securities laws, we will recover, reasonably promptly, any covered incentive-based compensation, including performance-based awards under the 2026 Plan, received by an executive officer (or other individual who is an officer for purposes of Section 16 of the Exchange Act) during the three preceding completed fiscal years, to the extent such compensation exceeds the amount that otherwise would have been received based on the restated amounts, computed without regard to any taxes paid. The Clawback Policy covers compensation that is granted, earned, or vested based wholly or in part upon the attainment of any measure that is determined and presented in accordance with the accounting principles used in preparing the Company’s financial statements, and any measures that are derived wholly or in part from such measures, including stock price and total shareholder return. Recovery of such excess amounts under the Clawback Policy is mandatory, unless one of the stated exceptions to recovery in the Clawback Policy applies. For a further description, see the caption titled “</w:t>
      </w:r>
      <w:r>
        <w:rPr>
          <w:rFonts w:ascii="ARIAL" w:hAnsi="ARIAL"/>
          <w:i/>
          <w:sz w:val="22"/>
        </w:rPr>
        <w:t>Executive Compensation Recoupment Policy</w:t>
      </w:r>
      <w:r>
        <w:rPr>
          <w:rFonts w:ascii="ARIAL" w:hAnsi="ARIAL"/>
          <w:sz w:val="22"/>
        </w:rPr>
        <w:t xml:space="preserve">” in the Compensation Discussion and Analysis. </w:t>
      </w:r>
    </w:p>
    <w:p>
      <w:pPr>
        <w:pStyle w:val="TextBody"/>
        <w:bidi w:val="0"/>
        <w:spacing w:before="240" w:after="0"/>
        <w:jc w:val="left"/>
        <w:rPr>
          <w:rFonts w:ascii="ARIAL" w:hAnsi="ARIAL"/>
          <w:b/>
          <w:i/>
          <w:color w:val="248EC3"/>
          <w:sz w:val="22"/>
        </w:rPr>
      </w:pPr>
      <w:r>
        <w:rPr>
          <w:rFonts w:ascii="ARIAL" w:hAnsi="ARIAL"/>
          <w:b/>
          <w:i/>
          <w:color w:val="248EC3"/>
          <w:sz w:val="22"/>
        </w:rPr>
        <w:t xml:space="preserve">Change in Control Treatment </w:t>
      </w:r>
    </w:p>
    <w:p>
      <w:pPr>
        <w:pStyle w:val="TextBody"/>
        <w:bidi w:val="0"/>
        <w:spacing w:before="240" w:after="0"/>
        <w:jc w:val="both"/>
        <w:rPr>
          <w:rFonts w:ascii="ARIAL" w:hAnsi="ARIAL"/>
          <w:sz w:val="22"/>
        </w:rPr>
      </w:pPr>
      <w:r>
        <w:rPr>
          <w:rFonts w:ascii="ARIAL" w:hAnsi="ARIAL"/>
          <w:sz w:val="22"/>
        </w:rPr>
        <w:t xml:space="preserve">A definition of “change in control” is provided in Section 12.2 of the 2026 Plan. In general, except as may be otherwise provided in an award agreement, a change in control will occur upon any of the following events (as described in further detail in the 2026 Plan): (1) the acquisition by a person unaffiliated with the Company of 25% or more of the Company’s outstanding voting securities; (2) the occurrence of certain mergers, consolidations, reorganizations or similar forms of corporate transactions; (3) certain dispositions of all or substantially all of the Company’s assets to an unaffiliated entity; or (4) certain changes in the composition of a majority of the Board over a period of two years or less. </w:t>
      </w:r>
    </w:p>
    <w:p>
      <w:pPr>
        <w:pStyle w:val="TextBody"/>
        <w:bidi w:val="0"/>
        <w:spacing w:before="240" w:after="0"/>
        <w:jc w:val="both"/>
        <w:rPr>
          <w:rFonts w:ascii="ARIAL" w:hAnsi="ARIAL"/>
          <w:sz w:val="22"/>
        </w:rPr>
      </w:pPr>
      <w:r>
        <w:rPr>
          <w:rFonts w:ascii="ARIAL" w:hAnsi="ARIAL"/>
          <w:sz w:val="22"/>
        </w:rPr>
        <w:t xml:space="preserve">In general, except as may be otherwise be provided in an award agreement, if (i) a valid replacement award is granted in respect of any outstanding award and (ii) a participant’s employment or service is subsequently terminated without cause or for good reason within two years following such change in control, the replacement award shall become fully exercisable and/or vested. </w:t>
      </w:r>
    </w:p>
    <w:p>
      <w:pPr>
        <w:pStyle w:val="TextBody"/>
        <w:bidi w:val="0"/>
        <w:spacing w:before="240" w:after="0"/>
        <w:jc w:val="left"/>
        <w:rPr>
          <w:rFonts w:ascii="ARIAL" w:hAnsi="ARIAL"/>
          <w:b/>
          <w:i/>
          <w:color w:val="248EC3"/>
          <w:sz w:val="22"/>
        </w:rPr>
      </w:pPr>
      <w:r>
        <w:rPr>
          <w:rFonts w:ascii="ARIAL" w:hAnsi="ARIAL"/>
          <w:b/>
          <w:i/>
          <w:color w:val="248EC3"/>
          <w:sz w:val="22"/>
        </w:rPr>
        <w:t xml:space="preserve">Term, Termination and Amendment </w:t>
      </w:r>
    </w:p>
    <w:p>
      <w:pPr>
        <w:pStyle w:val="TextBody"/>
        <w:bidi w:val="0"/>
        <w:spacing w:before="240" w:after="0"/>
        <w:jc w:val="both"/>
        <w:rPr>
          <w:rFonts w:ascii="ARIAL" w:hAnsi="ARIAL"/>
          <w:sz w:val="22"/>
        </w:rPr>
      </w:pPr>
      <w:r>
        <w:rPr>
          <w:rFonts w:ascii="ARIAL" w:hAnsi="ARIAL"/>
          <w:sz w:val="22"/>
        </w:rPr>
        <w:t xml:space="preserve">The effective date of the 2026 Plan shall be the date it is approved by the Company’s stockholders.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The Board generally may amend or terminate the 2026 Plan from time to time in whole or in part, provided that certain types of amendments or terminations (as described in the 2026 Plan) will be subject to stockholder approval and will not be effective unless and until such approval has been obtained. </w:t>
      </w:r>
    </w:p>
    <w:p>
      <w:pPr>
        <w:pStyle w:val="TextBody"/>
        <w:bidi w:val="0"/>
        <w:spacing w:before="240" w:after="0"/>
        <w:jc w:val="both"/>
        <w:rPr>
          <w:rFonts w:ascii="ARIAL" w:hAnsi="ARIAL"/>
          <w:sz w:val="22"/>
        </w:rPr>
      </w:pPr>
      <w:r>
        <w:rPr>
          <w:rFonts w:ascii="ARIAL" w:hAnsi="ARIAL"/>
          <w:sz w:val="22"/>
        </w:rPr>
        <w:t xml:space="preserve">No grant will be made under the 2026 Plan on or after the tenth anniversary of the effective date of the 2026 Plan, but all grants made prior to such date will continue in effect thereafter subject to their terms and the terms of the 2026 Plan. </w:t>
      </w:r>
    </w:p>
    <w:p>
      <w:pPr>
        <w:pStyle w:val="TextBody"/>
        <w:bidi w:val="0"/>
        <w:spacing w:before="360" w:after="0"/>
        <w:jc w:val="left"/>
        <w:rPr>
          <w:rFonts w:ascii="ARIAL" w:hAnsi="ARIAL"/>
          <w:b/>
          <w:color w:val="248EC3"/>
          <w:sz w:val="22"/>
        </w:rPr>
      </w:pPr>
      <w:r>
        <w:rPr>
          <w:rFonts w:ascii="ARIAL" w:hAnsi="ARIAL"/>
          <w:b/>
          <w:color w:val="248EC3"/>
          <w:sz w:val="22"/>
        </w:rPr>
        <w:t xml:space="preserve">U.S. FEDERAL INCOME TAX CONSEQUENCES </w:t>
      </w:r>
    </w:p>
    <w:p>
      <w:pPr>
        <w:pStyle w:val="TextBody"/>
        <w:bidi w:val="0"/>
        <w:spacing w:before="240" w:after="0"/>
        <w:jc w:val="both"/>
        <w:rPr>
          <w:rFonts w:ascii="ARIAL" w:hAnsi="ARIAL"/>
          <w:sz w:val="22"/>
        </w:rPr>
      </w:pPr>
      <w:r>
        <w:rPr>
          <w:rFonts w:ascii="ARIAL" w:hAnsi="ARIAL"/>
          <w:sz w:val="22"/>
        </w:rPr>
        <w:t xml:space="preserve">The following is a brief summary of certain of the Federal income tax consequences of certain transactions under the 2026 Plan based on Federal income tax laws in effect. This summary, which is presented for the information of stockholders considering how to vote on this proposal and not for 2026 Plan participants, is not intended to be complete and does not describe Federal taxes other than income taxes (such as Medicare and Social Security taxes), or state, local or foreign tax consequences. </w:t>
      </w:r>
    </w:p>
    <w:p>
      <w:pPr>
        <w:pStyle w:val="TextBody"/>
        <w:bidi w:val="0"/>
        <w:spacing w:before="240" w:after="0"/>
        <w:jc w:val="left"/>
        <w:rPr>
          <w:rFonts w:ascii="ARIAL" w:hAnsi="ARIAL"/>
          <w:b/>
          <w:i/>
          <w:color w:val="248EC3"/>
          <w:sz w:val="22"/>
        </w:rPr>
      </w:pPr>
      <w:r>
        <w:rPr>
          <w:rFonts w:ascii="ARIAL" w:hAnsi="ARIAL"/>
          <w:b/>
          <w:i/>
          <w:color w:val="248EC3"/>
          <w:sz w:val="22"/>
        </w:rPr>
        <w:t xml:space="preserve">Tax Consequences to Participants </w:t>
      </w:r>
    </w:p>
    <w:p>
      <w:pPr>
        <w:pStyle w:val="TextBody"/>
        <w:bidi w:val="0"/>
        <w:spacing w:before="240" w:after="0"/>
        <w:jc w:val="left"/>
        <w:rPr>
          <w:rFonts w:ascii="ARIAL" w:hAnsi="ARIAL"/>
          <w:i/>
          <w:sz w:val="22"/>
          <w:u w:val="single"/>
        </w:rPr>
      </w:pPr>
      <w:r>
        <w:rPr>
          <w:rFonts w:ascii="ARIAL" w:hAnsi="ARIAL"/>
          <w:i/>
          <w:sz w:val="22"/>
          <w:u w:val="single"/>
        </w:rPr>
        <w:t xml:space="preserve">Nonqualified Stock Options </w:t>
      </w:r>
    </w:p>
    <w:p>
      <w:pPr>
        <w:pStyle w:val="TextBody"/>
        <w:bidi w:val="0"/>
        <w:spacing w:before="240" w:after="0"/>
        <w:jc w:val="both"/>
        <w:rPr>
          <w:rFonts w:ascii="ARIAL" w:hAnsi="ARIAL"/>
          <w:sz w:val="22"/>
        </w:rPr>
      </w:pPr>
      <w:r>
        <w:rPr>
          <w:rFonts w:ascii="ARIAL" w:hAnsi="ARIAL"/>
          <w:sz w:val="22"/>
        </w:rPr>
        <w:t xml:space="preserve">In general, no income will be recognized by an optionee at the time a nonqualified stock option is granted. At the time of exercise of a non-qualified stock option, ordinary income will be recognized by the optionee in an amount equal to the difference between the option price paid for the shares and the fair market value of the shares, if unrestricted, on the date of exercise. 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 </w:t>
      </w:r>
    </w:p>
    <w:p>
      <w:pPr>
        <w:pStyle w:val="TextBody"/>
        <w:bidi w:val="0"/>
        <w:spacing w:before="240" w:after="0"/>
        <w:jc w:val="left"/>
        <w:rPr>
          <w:rFonts w:ascii="ARIAL" w:hAnsi="ARIAL"/>
          <w:i/>
          <w:sz w:val="22"/>
          <w:u w:val="single"/>
        </w:rPr>
      </w:pPr>
      <w:r>
        <w:rPr>
          <w:rFonts w:ascii="ARIAL" w:hAnsi="ARIAL"/>
          <w:i/>
          <w:sz w:val="22"/>
          <w:u w:val="single"/>
        </w:rPr>
        <w:t xml:space="preserve">Incentive Stock Options </w:t>
      </w:r>
    </w:p>
    <w:p>
      <w:pPr>
        <w:pStyle w:val="TextBody"/>
        <w:bidi w:val="0"/>
        <w:spacing w:before="240" w:after="0"/>
        <w:jc w:val="both"/>
        <w:rPr>
          <w:rFonts w:ascii="ARIAL" w:hAnsi="ARIAL"/>
          <w:sz w:val="22"/>
        </w:rPr>
      </w:pPr>
      <w:r>
        <w:rPr>
          <w:rFonts w:ascii="ARIAL" w:hAnsi="ARIAL"/>
          <w:sz w:val="22"/>
        </w:rPr>
        <w:t xml:space="preserve">No income generally will be recognized by an optionee upon the grant or exercise of an “incentive stock option” as defined in Section 422 of the Code. If shares of common stock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 If shares of common stock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u w:val="single"/>
        </w:rPr>
      </w:pPr>
      <w:r>
        <w:rPr>
          <w:rFonts w:ascii="ARIAL" w:hAnsi="ARIAL"/>
          <w:i/>
          <w:sz w:val="22"/>
          <w:u w:val="single"/>
        </w:rPr>
        <w:t xml:space="preserve">Stock Appreciation Rights </w:t>
      </w:r>
    </w:p>
    <w:p>
      <w:pPr>
        <w:pStyle w:val="TextBody"/>
        <w:bidi w:val="0"/>
        <w:spacing w:before="240" w:after="0"/>
        <w:jc w:val="both"/>
        <w:rPr>
          <w:rFonts w:ascii="ARIAL" w:hAnsi="ARIAL"/>
          <w:sz w:val="22"/>
        </w:rPr>
      </w:pPr>
      <w:r>
        <w:rPr>
          <w:rFonts w:ascii="ARIAL" w:hAnsi="ARIAL"/>
          <w:sz w:val="22"/>
        </w:rPr>
        <w:t xml:space="preserve">No income will be recognized by a participant in connection with the grant of a SAR. When the SAR is exercised, the participant normally will be required to include as taxable ordinary income in the year of exercise an amount equal to the amount of cash received and the fair market value of any unrestricted shares of our common stock received on the exercise. </w:t>
      </w:r>
    </w:p>
    <w:p>
      <w:pPr>
        <w:pStyle w:val="TextBody"/>
        <w:bidi w:val="0"/>
        <w:spacing w:before="240" w:after="0"/>
        <w:jc w:val="left"/>
        <w:rPr>
          <w:rFonts w:ascii="ARIAL" w:hAnsi="ARIAL"/>
          <w:i/>
          <w:sz w:val="22"/>
          <w:u w:val="single"/>
        </w:rPr>
      </w:pPr>
      <w:r>
        <w:rPr>
          <w:rFonts w:ascii="ARIAL" w:hAnsi="ARIAL"/>
          <w:i/>
          <w:sz w:val="22"/>
          <w:u w:val="single"/>
        </w:rPr>
        <w:t xml:space="preserve">Stock Awards </w:t>
      </w:r>
    </w:p>
    <w:p>
      <w:pPr>
        <w:pStyle w:val="TextBody"/>
        <w:bidi w:val="0"/>
        <w:spacing w:before="240" w:after="0"/>
        <w:jc w:val="both"/>
        <w:rPr>
          <w:rFonts w:ascii="ARIAL" w:hAnsi="ARIAL"/>
          <w:sz w:val="22"/>
        </w:rPr>
      </w:pPr>
      <w:r>
        <w:rPr>
          <w:rFonts w:ascii="ARIAL" w:hAnsi="ARIAL"/>
          <w:sz w:val="22"/>
        </w:rPr>
        <w:t>The recipient of stock awards (i.e., restricted shares) generally will be subject to tax at ordinary income rates on the fair market value of the restricted shares (reduced by any amount paid by the recipient for such restricted shares) at such time as the restricted shares are no longer subject to forfeiture or restrictions on transfer for purposes of Section 83 of the Code (“</w:t>
      </w:r>
      <w:r>
        <w:rPr>
          <w:rFonts w:ascii="ARIAL" w:hAnsi="ARIAL"/>
          <w:b/>
          <w:sz w:val="22"/>
        </w:rPr>
        <w:t>Restrictions</w:t>
      </w:r>
      <w:r>
        <w:rPr>
          <w:rFonts w:ascii="ARIAL" w:hAnsi="ARIAL"/>
          <w:sz w:val="22"/>
        </w:rPr>
        <w:t xml:space="preserve">”).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shares. If a Section 83(b) election has not been made, any dividends received with respect to restricted shares that are subject to the Restrictions generally will be treated as compensation that is taxable as ordinary income to the recipient. </w:t>
      </w:r>
    </w:p>
    <w:p>
      <w:pPr>
        <w:pStyle w:val="TextBody"/>
        <w:bidi w:val="0"/>
        <w:spacing w:before="240" w:after="0"/>
        <w:jc w:val="left"/>
        <w:rPr>
          <w:rFonts w:ascii="ARIAL" w:hAnsi="ARIAL"/>
          <w:i/>
          <w:sz w:val="22"/>
          <w:u w:val="single"/>
        </w:rPr>
      </w:pPr>
      <w:r>
        <w:rPr>
          <w:rFonts w:ascii="ARIAL" w:hAnsi="ARIAL"/>
          <w:i/>
          <w:sz w:val="22"/>
          <w:u w:val="single"/>
        </w:rPr>
        <w:t xml:space="preserve">Stock Unit Awards </w:t>
      </w:r>
    </w:p>
    <w:p>
      <w:pPr>
        <w:pStyle w:val="TextBody"/>
        <w:bidi w:val="0"/>
        <w:spacing w:before="240" w:after="0"/>
        <w:jc w:val="both"/>
        <w:rPr>
          <w:rFonts w:ascii="ARIAL" w:hAnsi="ARIAL"/>
          <w:sz w:val="22"/>
        </w:rPr>
      </w:pPr>
      <w:r>
        <w:rPr>
          <w:rFonts w:ascii="ARIAL" w:hAnsi="ARIAL"/>
          <w:sz w:val="22"/>
        </w:rPr>
        <w:t xml:space="preserve">No income generally will be recognized upon the award of stock unit awards (i.e., RSUs). The recipient of an RSU award generally will be subject to tax at ordinary income rates on the fair market value of unrestricted shares of our common stock (or the cash equivalent thereof) on the date that such shares or cash are transferred or paid to the participant under the award (reduced by any amount paid by the participant for such RSUs), and the capital gains/loss holding period for such shares will also commence on such date. </w:t>
      </w:r>
    </w:p>
    <w:p>
      <w:pPr>
        <w:pStyle w:val="TextBody"/>
        <w:bidi w:val="0"/>
        <w:spacing w:before="240" w:after="0"/>
        <w:jc w:val="left"/>
        <w:rPr>
          <w:rFonts w:ascii="ARIAL" w:hAnsi="ARIAL"/>
          <w:i/>
          <w:sz w:val="22"/>
          <w:u w:val="single"/>
        </w:rPr>
      </w:pPr>
      <w:r>
        <w:rPr>
          <w:rFonts w:ascii="ARIAL" w:hAnsi="ARIAL"/>
          <w:i/>
          <w:sz w:val="22"/>
          <w:u w:val="single"/>
        </w:rPr>
        <w:t xml:space="preserve">Other Awards </w:t>
      </w:r>
    </w:p>
    <w:p>
      <w:pPr>
        <w:pStyle w:val="TextBody"/>
        <w:bidi w:val="0"/>
        <w:spacing w:before="240" w:after="0"/>
        <w:jc w:val="both"/>
        <w:rPr>
          <w:rFonts w:ascii="ARIAL" w:hAnsi="ARIAL"/>
          <w:sz w:val="22"/>
        </w:rPr>
      </w:pPr>
      <w:r>
        <w:rPr>
          <w:rFonts w:ascii="ARIAL" w:hAnsi="ARIAL"/>
          <w:sz w:val="22"/>
        </w:rPr>
        <w:t xml:space="preserve">The granting of other awards such as performance units, performance shares or annual incentive awards generally should not result in the recognition of taxable income by the recipient. The payment or settlement of these awards should generally result in immediate recognition of taxable ordinary income by the recipient equal to the amount of any cash paid or the then-current fair market value of the shares of common stock received. If the award consists of shares that are not transferable and are subject to a substantial risk of forfeiture, the tax consequences to the participant and the Company will be similar to the tax consequences of stock awards described above, assuming that such award is payable upon the lapse of the restrictions. If the award consists of unrestricted shares of common stock, the recipient of those shares will immediately recognize as taxable ordinary income the fair market value of those shares on the date of grant. </w:t>
      </w:r>
    </w:p>
    <w:p>
      <w:pPr>
        <w:pStyle w:val="TextBody"/>
        <w:bidi w:val="0"/>
        <w:spacing w:before="240" w:after="0"/>
        <w:jc w:val="left"/>
        <w:rPr>
          <w:rFonts w:ascii="ARIAL" w:hAnsi="ARIAL"/>
          <w:b/>
          <w:i/>
          <w:color w:val="248EC3"/>
          <w:sz w:val="22"/>
        </w:rPr>
      </w:pPr>
      <w:r>
        <w:rPr>
          <w:rFonts w:ascii="ARIAL" w:hAnsi="ARIAL"/>
          <w:b/>
          <w:i/>
          <w:color w:val="248EC3"/>
          <w:sz w:val="22"/>
        </w:rPr>
        <w:t xml:space="preserve">Tax Withholding. </w:t>
      </w:r>
    </w:p>
    <w:p>
      <w:pPr>
        <w:pStyle w:val="TextBody"/>
        <w:bidi w:val="0"/>
        <w:spacing w:before="240" w:after="0"/>
        <w:jc w:val="both"/>
        <w:rPr>
          <w:rFonts w:ascii="ARIAL" w:hAnsi="ARIAL"/>
          <w:sz w:val="22"/>
        </w:rPr>
      </w:pPr>
      <w:r>
        <w:rPr>
          <w:rFonts w:ascii="ARIAL" w:hAnsi="ARIAL"/>
          <w:sz w:val="22"/>
        </w:rPr>
        <w:t xml:space="preserve">As a condition to the issuance or delivery of any shares of our common stock or cash amount under the 2026 Plan, we may require a participant to pay an amount equal to the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amount of tax that we (or any of our subsidiaries) are required to withhold, and we may make available one or more of the following alternatives for the payment of such taxes, as determined by the Committee in its sole discretion: (1) in cash; (2) in cash received from a broker-dealer; (3) by directing us to withhold a number of shares of our common stock otherwise issuable in connection with the award that have an aggregate fair market value equal to the amount of tax required to be withheld; (4) by delivering previously acquired shares of our common stock that have an aggregate fair market value equal to the amount required to be withheld; or (5) by certifying to ownership by attestation of such previously acquired shares of common stock. In no event will the fair market value of the shares to be withheld or delivered for satisfaction of tax obligations under the 2026 Plan exceed the minimum amount required to be withheld unless (i) such additional amount can be withheld and not result in adverse accounting consequences and (ii) such additional withholding amount is authorized by the Committee. </w:t>
      </w:r>
    </w:p>
    <w:p>
      <w:pPr>
        <w:pStyle w:val="TextBody"/>
        <w:bidi w:val="0"/>
        <w:spacing w:before="240" w:after="0"/>
        <w:jc w:val="left"/>
        <w:rPr>
          <w:rFonts w:ascii="ARIAL" w:hAnsi="ARIAL"/>
          <w:b/>
          <w:i/>
          <w:color w:val="248EC3"/>
          <w:sz w:val="22"/>
        </w:rPr>
      </w:pPr>
      <w:r>
        <w:rPr>
          <w:rFonts w:ascii="ARIAL" w:hAnsi="ARIAL"/>
          <w:b/>
          <w:i/>
          <w:color w:val="248EC3"/>
          <w:sz w:val="22"/>
        </w:rPr>
        <w:t xml:space="preserve">Tax Consequences to the Company and its Subsidiaries </w:t>
      </w:r>
    </w:p>
    <w:p>
      <w:pPr>
        <w:pStyle w:val="TextBody"/>
        <w:bidi w:val="0"/>
        <w:spacing w:before="240" w:after="0"/>
        <w:jc w:val="both"/>
        <w:rPr>
          <w:rFonts w:ascii="ARIAL" w:hAnsi="ARIAL"/>
          <w:sz w:val="22"/>
        </w:rPr>
      </w:pPr>
      <w:r>
        <w:rPr>
          <w:rFonts w:ascii="ARIAL" w:hAnsi="ARIAL"/>
          <w:sz w:val="22"/>
        </w:rPr>
        <w:t xml:space="preserve">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w:t>
      </w:r>
    </w:p>
    <w:p>
      <w:pPr>
        <w:pStyle w:val="TextBody"/>
        <w:bidi w:val="0"/>
        <w:spacing w:before="360" w:after="0"/>
        <w:jc w:val="left"/>
        <w:rPr>
          <w:rFonts w:ascii="ARIAL" w:hAnsi="ARIAL"/>
          <w:b/>
          <w:color w:val="248EC3"/>
          <w:sz w:val="22"/>
        </w:rPr>
      </w:pPr>
      <w:r>
        <w:rPr>
          <w:rFonts w:ascii="ARIAL" w:hAnsi="ARIAL"/>
          <w:b/>
          <w:color w:val="248EC3"/>
          <w:sz w:val="22"/>
        </w:rPr>
        <w:t xml:space="preserve">NEW PLAN BENEFITS </w:t>
      </w:r>
    </w:p>
    <w:p>
      <w:pPr>
        <w:pStyle w:val="TextBody"/>
        <w:bidi w:val="0"/>
        <w:spacing w:before="240" w:after="0"/>
        <w:jc w:val="both"/>
        <w:rPr>
          <w:rFonts w:ascii="ARIAL" w:hAnsi="ARIAL"/>
          <w:sz w:val="22"/>
        </w:rPr>
      </w:pPr>
      <w:r>
        <w:rPr>
          <w:rFonts w:ascii="ARIAL" w:hAnsi="ARIAL"/>
          <w:sz w:val="22"/>
        </w:rPr>
        <w:t xml:space="preserve">Future awards under the 2026 Plan will be made at the discretion of the Committee; therefore, it is generally not possible to quantify the benefits or amounts that may be received by the named executive officers or groups noted in the table below pursuant to the 2026 Plan in the future. However, estimated awards that are anticipated to be made in 2026 to our non-employee directors based on the current non-employee director compensation program are set forth in the table below.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4640"/>
        <w:gridCol w:w="120"/>
        <w:gridCol w:w="89"/>
        <w:gridCol w:w="1566"/>
        <w:gridCol w:w="75"/>
      </w:tblGrid>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40" w:type="dxa"/>
            <w:tcBorders>
              <w:bottom w:val="single" w:sz="6" w:space="0" w:color="000000"/>
            </w:tcBorders>
            <w:tcMar>
              <w:bottom w:w="40" w:type="dxa"/>
            </w:tcMar>
            <w:vAlign w:val="center"/>
          </w:tcPr>
          <w:p>
            <w:pPr>
              <w:pStyle w:val="TableContents"/>
              <w:bidi w:val="0"/>
              <w:spacing w:before="0" w:after="283"/>
              <w:jc w:val="left"/>
              <w:rPr/>
            </w:pPr>
            <w:r>
              <w:rPr/>
              <w:t> </w:t>
            </w:r>
            <w:r>
              <w:rPr>
                <w:b/>
              </w:rPr>
              <w:t>Name and Position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Dollar Value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6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566"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4640" w:type="dxa"/>
            <w:tcBorders/>
            <w:shd w:fill="D5EBF6" w:val="clear"/>
            <w:vAlign w:val="center"/>
          </w:tcPr>
          <w:p>
            <w:pPr>
              <w:pStyle w:val="TableContents"/>
              <w:bidi w:val="0"/>
              <w:spacing w:before="0" w:after="283"/>
              <w:jc w:val="left"/>
              <w:rPr>
                <w:sz w:val="4"/>
                <w:szCs w:val="4"/>
              </w:rPr>
            </w:pPr>
            <w:r>
              <w:rPr>
                <w:sz w:val="4"/>
                <w:szCs w:val="4"/>
              </w:rPr>
            </w:r>
          </w:p>
        </w:tc>
        <w:tc>
          <w:tcPr>
            <w:tcW w:w="18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4640" w:type="dxa"/>
            <w:tcBorders/>
            <w:shd w:fill="D5EBF6" w:val="clear"/>
            <w:vAlign w:val="center"/>
          </w:tcPr>
          <w:p>
            <w:pPr>
              <w:pStyle w:val="TableContents"/>
              <w:bidi w:val="0"/>
              <w:spacing w:before="0" w:after="0"/>
              <w:jc w:val="left"/>
              <w:rPr/>
            </w:pPr>
            <w:r>
              <w:rPr/>
              <w:t> </w:t>
            </w:r>
            <w:r>
              <w:rPr>
                <w:rFonts w:ascii="ARIAL" w:hAnsi="ARIAL"/>
                <w:sz w:val="22"/>
              </w:rPr>
              <w:t>Christopher H. Peterson</w:t>
            </w:r>
          </w:p>
        </w:tc>
        <w:tc>
          <w:tcPr>
            <w:tcW w:w="120" w:type="dxa"/>
            <w:tcBorders/>
            <w:shd w:fill="D5EBF6" w:val="clear"/>
            <w:vAlign w:val="center"/>
          </w:tcPr>
          <w:p>
            <w:pPr>
              <w:pStyle w:val="TableContents"/>
              <w:bidi w:val="0"/>
              <w:spacing w:before="0" w:after="283"/>
              <w:jc w:val="left"/>
              <w:rPr/>
            </w:pPr>
            <w:r>
              <w:rPr/>
              <w:t>  </w:t>
            </w:r>
          </w:p>
        </w:tc>
        <w:tc>
          <w:tcPr>
            <w:tcW w:w="89" w:type="dxa"/>
            <w:tcBorders/>
            <w:shd w:fill="D5EBF6" w:val="clear"/>
            <w:vAlign w:val="center"/>
          </w:tcPr>
          <w:p>
            <w:pPr>
              <w:pStyle w:val="TableContents"/>
              <w:bidi w:val="0"/>
              <w:spacing w:before="0" w:after="283"/>
              <w:jc w:val="left"/>
              <w:rPr/>
            </w:pPr>
            <w:r>
              <w:rPr/>
              <w:t> </w:t>
            </w:r>
          </w:p>
        </w:tc>
        <w:tc>
          <w:tcPr>
            <w:tcW w:w="1566" w:type="dxa"/>
            <w:tcBorders/>
            <w:shd w:fill="D5EBF6" w:val="clear"/>
            <w:vAlign w:val="center"/>
          </w:tcPr>
          <w:p>
            <w:pPr>
              <w:pStyle w:val="TableContents"/>
              <w:bidi w:val="0"/>
              <w:spacing w:before="0" w:after="283"/>
              <w:jc w:val="center"/>
              <w:rPr/>
            </w:pPr>
            <w:r>
              <w:rPr/>
              <w:t>N/A</w:t>
            </w:r>
          </w:p>
        </w:tc>
        <w:tc>
          <w:tcPr>
            <w:tcW w:w="75" w:type="dxa"/>
            <w:tcBorders/>
            <w:shd w:fill="D5EBF6"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pPr>
            <w:r>
              <w:rPr/>
              <w:t> </w:t>
            </w:r>
            <w:r>
              <w:rPr>
                <w:rFonts w:ascii="ARIAL" w:hAnsi="ARIAL"/>
                <w:sz w:val="22"/>
              </w:rPr>
              <w:t>Mark J. Erceg</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center"/>
              <w:rPr/>
            </w:pPr>
            <w:r>
              <w:rPr/>
              <w:t>N/A</w:t>
            </w:r>
          </w:p>
        </w:tc>
        <w:tc>
          <w:tcPr>
            <w:tcW w:w="75" w:type="dxa"/>
            <w:tcBorders/>
            <w:vAlign w:val="center"/>
          </w:tcPr>
          <w:p>
            <w:pPr>
              <w:pStyle w:val="TableContents"/>
              <w:bidi w:val="0"/>
              <w:spacing w:before="0" w:after="283"/>
              <w:jc w:val="left"/>
              <w:rPr/>
            </w:pPr>
            <w:r>
              <w:rPr/>
              <w:t> </w:t>
            </w:r>
          </w:p>
        </w:tc>
      </w:tr>
      <w:tr>
        <w:trPr/>
        <w:tc>
          <w:tcPr>
            <w:tcW w:w="4640" w:type="dxa"/>
            <w:tcBorders/>
            <w:shd w:fill="D5EBF6" w:val="clear"/>
            <w:vAlign w:val="center"/>
          </w:tcPr>
          <w:p>
            <w:pPr>
              <w:pStyle w:val="TableContents"/>
              <w:bidi w:val="0"/>
              <w:spacing w:before="0" w:after="283"/>
              <w:jc w:val="left"/>
              <w:rPr>
                <w:sz w:val="4"/>
                <w:szCs w:val="4"/>
              </w:rPr>
            </w:pPr>
            <w:r>
              <w:rPr>
                <w:sz w:val="4"/>
                <w:szCs w:val="4"/>
              </w:rPr>
            </w:r>
          </w:p>
        </w:tc>
        <w:tc>
          <w:tcPr>
            <w:tcW w:w="18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4640" w:type="dxa"/>
            <w:tcBorders/>
            <w:shd w:fill="D5EBF6" w:val="clear"/>
            <w:vAlign w:val="center"/>
          </w:tcPr>
          <w:p>
            <w:pPr>
              <w:pStyle w:val="TableContents"/>
              <w:bidi w:val="0"/>
              <w:spacing w:before="0" w:after="0"/>
              <w:jc w:val="left"/>
              <w:rPr/>
            </w:pPr>
            <w:r>
              <w:rPr/>
              <w:t> </w:t>
            </w:r>
            <w:r>
              <w:rPr>
                <w:rFonts w:ascii="ARIAL" w:hAnsi="ARIAL"/>
                <w:sz w:val="22"/>
              </w:rPr>
              <w:t>Bradford R. Turner</w:t>
            </w:r>
          </w:p>
        </w:tc>
        <w:tc>
          <w:tcPr>
            <w:tcW w:w="120" w:type="dxa"/>
            <w:tcBorders/>
            <w:shd w:fill="D5EBF6" w:val="clear"/>
            <w:vAlign w:val="center"/>
          </w:tcPr>
          <w:p>
            <w:pPr>
              <w:pStyle w:val="TableContents"/>
              <w:bidi w:val="0"/>
              <w:spacing w:before="0" w:after="283"/>
              <w:jc w:val="left"/>
              <w:rPr/>
            </w:pPr>
            <w:r>
              <w:rPr/>
              <w:t>  </w:t>
            </w:r>
          </w:p>
        </w:tc>
        <w:tc>
          <w:tcPr>
            <w:tcW w:w="89" w:type="dxa"/>
            <w:tcBorders/>
            <w:shd w:fill="D5EBF6" w:val="clear"/>
            <w:vAlign w:val="center"/>
          </w:tcPr>
          <w:p>
            <w:pPr>
              <w:pStyle w:val="TableContents"/>
              <w:bidi w:val="0"/>
              <w:spacing w:before="0" w:after="283"/>
              <w:jc w:val="left"/>
              <w:rPr/>
            </w:pPr>
            <w:r>
              <w:rPr/>
              <w:t> </w:t>
            </w:r>
          </w:p>
        </w:tc>
        <w:tc>
          <w:tcPr>
            <w:tcW w:w="1566" w:type="dxa"/>
            <w:tcBorders/>
            <w:shd w:fill="D5EBF6" w:val="clear"/>
            <w:vAlign w:val="center"/>
          </w:tcPr>
          <w:p>
            <w:pPr>
              <w:pStyle w:val="TableContents"/>
              <w:bidi w:val="0"/>
              <w:spacing w:before="0" w:after="283"/>
              <w:jc w:val="center"/>
              <w:rPr/>
            </w:pPr>
            <w:r>
              <w:rPr/>
              <w:t>N/A</w:t>
            </w:r>
          </w:p>
        </w:tc>
        <w:tc>
          <w:tcPr>
            <w:tcW w:w="75" w:type="dxa"/>
            <w:tcBorders/>
            <w:shd w:fill="D5EBF6"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pPr>
            <w:r>
              <w:rPr/>
              <w:t> </w:t>
            </w:r>
            <w:r>
              <w:rPr>
                <w:rFonts w:ascii="ARIAL" w:hAnsi="ARIAL"/>
                <w:sz w:val="22"/>
              </w:rPr>
              <w:t>Tracy L. Platt</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center"/>
              <w:rPr/>
            </w:pPr>
            <w:r>
              <w:rPr/>
              <w:t>N/A</w:t>
            </w:r>
          </w:p>
        </w:tc>
        <w:tc>
          <w:tcPr>
            <w:tcW w:w="75" w:type="dxa"/>
            <w:tcBorders/>
            <w:vAlign w:val="center"/>
          </w:tcPr>
          <w:p>
            <w:pPr>
              <w:pStyle w:val="TableContents"/>
              <w:bidi w:val="0"/>
              <w:spacing w:before="0" w:after="283"/>
              <w:jc w:val="left"/>
              <w:rPr/>
            </w:pPr>
            <w:r>
              <w:rPr/>
              <w:t> </w:t>
            </w:r>
          </w:p>
        </w:tc>
      </w:tr>
      <w:tr>
        <w:trPr/>
        <w:tc>
          <w:tcPr>
            <w:tcW w:w="4640" w:type="dxa"/>
            <w:tcBorders/>
            <w:shd w:fill="D5EBF6" w:val="clear"/>
            <w:vAlign w:val="center"/>
          </w:tcPr>
          <w:p>
            <w:pPr>
              <w:pStyle w:val="TableContents"/>
              <w:bidi w:val="0"/>
              <w:spacing w:before="0" w:after="283"/>
              <w:jc w:val="left"/>
              <w:rPr>
                <w:sz w:val="4"/>
                <w:szCs w:val="4"/>
              </w:rPr>
            </w:pPr>
            <w:r>
              <w:rPr>
                <w:sz w:val="4"/>
                <w:szCs w:val="4"/>
              </w:rPr>
            </w:r>
          </w:p>
        </w:tc>
        <w:tc>
          <w:tcPr>
            <w:tcW w:w="18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4640" w:type="dxa"/>
            <w:tcBorders/>
            <w:shd w:fill="D5EBF6" w:val="clear"/>
            <w:vAlign w:val="center"/>
          </w:tcPr>
          <w:p>
            <w:pPr>
              <w:pStyle w:val="TableContents"/>
              <w:bidi w:val="0"/>
              <w:spacing w:before="0" w:after="0"/>
              <w:jc w:val="left"/>
              <w:rPr/>
            </w:pPr>
            <w:r>
              <w:rPr/>
              <w:t> </w:t>
            </w:r>
            <w:r>
              <w:rPr>
                <w:rFonts w:ascii="ARIAL" w:hAnsi="ARIAL"/>
                <w:sz w:val="22"/>
              </w:rPr>
              <w:t>Kristine K. Malkoski</w:t>
            </w:r>
          </w:p>
        </w:tc>
        <w:tc>
          <w:tcPr>
            <w:tcW w:w="120" w:type="dxa"/>
            <w:tcBorders/>
            <w:shd w:fill="D5EBF6" w:val="clear"/>
            <w:vAlign w:val="center"/>
          </w:tcPr>
          <w:p>
            <w:pPr>
              <w:pStyle w:val="TableContents"/>
              <w:bidi w:val="0"/>
              <w:spacing w:before="0" w:after="283"/>
              <w:jc w:val="left"/>
              <w:rPr/>
            </w:pPr>
            <w:r>
              <w:rPr/>
              <w:t>  </w:t>
            </w:r>
          </w:p>
        </w:tc>
        <w:tc>
          <w:tcPr>
            <w:tcW w:w="89" w:type="dxa"/>
            <w:tcBorders/>
            <w:shd w:fill="D5EBF6" w:val="clear"/>
            <w:vAlign w:val="center"/>
          </w:tcPr>
          <w:p>
            <w:pPr>
              <w:pStyle w:val="TableContents"/>
              <w:bidi w:val="0"/>
              <w:spacing w:before="0" w:after="283"/>
              <w:jc w:val="left"/>
              <w:rPr/>
            </w:pPr>
            <w:r>
              <w:rPr/>
              <w:t> </w:t>
            </w:r>
          </w:p>
        </w:tc>
        <w:tc>
          <w:tcPr>
            <w:tcW w:w="1566" w:type="dxa"/>
            <w:tcBorders/>
            <w:shd w:fill="D5EBF6" w:val="clear"/>
            <w:vAlign w:val="center"/>
          </w:tcPr>
          <w:p>
            <w:pPr>
              <w:pStyle w:val="TableContents"/>
              <w:bidi w:val="0"/>
              <w:spacing w:before="0" w:after="283"/>
              <w:jc w:val="center"/>
              <w:rPr/>
            </w:pPr>
            <w:r>
              <w:rPr/>
              <w:t>N/A</w:t>
            </w:r>
          </w:p>
        </w:tc>
        <w:tc>
          <w:tcPr>
            <w:tcW w:w="75" w:type="dxa"/>
            <w:tcBorders/>
            <w:shd w:fill="D5EBF6"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pPr>
            <w:r>
              <w:rPr/>
              <w:t> </w:t>
            </w:r>
            <w:r>
              <w:rPr>
                <w:rFonts w:ascii="ARIAL" w:hAnsi="ARIAL"/>
                <w:sz w:val="22"/>
              </w:rPr>
              <w:t>Executive Officers as a Group</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center"/>
              <w:rPr/>
            </w:pPr>
            <w:r>
              <w:rPr/>
              <w:t>N/A</w:t>
            </w:r>
          </w:p>
        </w:tc>
        <w:tc>
          <w:tcPr>
            <w:tcW w:w="75" w:type="dxa"/>
            <w:tcBorders/>
            <w:vAlign w:val="center"/>
          </w:tcPr>
          <w:p>
            <w:pPr>
              <w:pStyle w:val="TableContents"/>
              <w:bidi w:val="0"/>
              <w:spacing w:before="0" w:after="283"/>
              <w:jc w:val="left"/>
              <w:rPr/>
            </w:pPr>
            <w:r>
              <w:rPr/>
              <w:t> </w:t>
            </w:r>
          </w:p>
        </w:tc>
      </w:tr>
      <w:tr>
        <w:trPr/>
        <w:tc>
          <w:tcPr>
            <w:tcW w:w="4640" w:type="dxa"/>
            <w:tcBorders/>
            <w:shd w:fill="D5EBF6" w:val="clear"/>
            <w:vAlign w:val="center"/>
          </w:tcPr>
          <w:p>
            <w:pPr>
              <w:pStyle w:val="TableContents"/>
              <w:bidi w:val="0"/>
              <w:spacing w:before="0" w:after="283"/>
              <w:jc w:val="left"/>
              <w:rPr>
                <w:sz w:val="4"/>
                <w:szCs w:val="4"/>
              </w:rPr>
            </w:pPr>
            <w:r>
              <w:rPr>
                <w:sz w:val="4"/>
                <w:szCs w:val="4"/>
              </w:rPr>
            </w:r>
          </w:p>
        </w:tc>
        <w:tc>
          <w:tcPr>
            <w:tcW w:w="185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4640" w:type="dxa"/>
            <w:tcBorders/>
            <w:shd w:fill="D5EBF6" w:val="clear"/>
            <w:vAlign w:val="center"/>
          </w:tcPr>
          <w:p>
            <w:pPr>
              <w:pStyle w:val="TableContents"/>
              <w:bidi w:val="0"/>
              <w:spacing w:before="0" w:after="0"/>
              <w:jc w:val="left"/>
              <w:rPr/>
            </w:pPr>
            <w:r>
              <w:rPr/>
              <w:t> </w:t>
            </w:r>
            <w:r>
              <w:rPr>
                <w:rFonts w:ascii="ARIAL" w:hAnsi="ARIAL"/>
                <w:sz w:val="22"/>
              </w:rPr>
              <w:t>Non-Employee Directors as a Group</w:t>
            </w:r>
          </w:p>
        </w:tc>
        <w:tc>
          <w:tcPr>
            <w:tcW w:w="120" w:type="dxa"/>
            <w:tcBorders/>
            <w:shd w:fill="D5EBF6" w:val="clear"/>
            <w:vAlign w:val="center"/>
          </w:tcPr>
          <w:p>
            <w:pPr>
              <w:pStyle w:val="TableContents"/>
              <w:bidi w:val="0"/>
              <w:spacing w:before="0" w:after="283"/>
              <w:jc w:val="left"/>
              <w:rPr/>
            </w:pPr>
            <w:r>
              <w:rPr/>
              <w:t>  </w:t>
            </w:r>
          </w:p>
        </w:tc>
        <w:tc>
          <w:tcPr>
            <w:tcW w:w="89" w:type="dxa"/>
            <w:tcBorders/>
            <w:shd w:fill="D5EBF6" w:val="clear"/>
            <w:vAlign w:val="center"/>
          </w:tcPr>
          <w:p>
            <w:pPr>
              <w:pStyle w:val="TableContents"/>
              <w:bidi w:val="0"/>
              <w:spacing w:before="0" w:after="283"/>
              <w:jc w:val="left"/>
              <w:rPr/>
            </w:pPr>
            <w:r>
              <w:rPr/>
              <w:t> </w:t>
            </w:r>
          </w:p>
        </w:tc>
        <w:tc>
          <w:tcPr>
            <w:tcW w:w="1566" w:type="dxa"/>
            <w:tcBorders/>
            <w:shd w:fill="D5EBF6" w:val="clear"/>
            <w:vAlign w:val="center"/>
          </w:tcPr>
          <w:p>
            <w:pPr>
              <w:pStyle w:val="TableContents"/>
              <w:bidi w:val="0"/>
              <w:spacing w:before="0" w:after="283"/>
              <w:jc w:val="center"/>
              <w:rPr/>
            </w:pPr>
            <w:r>
              <w:rPr/>
              <w:t>1,120,000(1)</w:t>
            </w:r>
          </w:p>
        </w:tc>
        <w:tc>
          <w:tcPr>
            <w:tcW w:w="75" w:type="dxa"/>
            <w:tcBorders/>
            <w:shd w:fill="D5EBF6"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r>
      <w:tr>
        <w:trPr/>
        <w:tc>
          <w:tcPr>
            <w:tcW w:w="4640" w:type="dxa"/>
            <w:tcBorders>
              <w:bottom w:val="single" w:sz="6" w:space="0" w:color="000000"/>
            </w:tcBorders>
            <w:tcMar>
              <w:bottom w:w="40" w:type="dxa"/>
            </w:tcMar>
            <w:vAlign w:val="center"/>
          </w:tcPr>
          <w:p>
            <w:pPr>
              <w:pStyle w:val="TableContents"/>
              <w:bidi w:val="0"/>
              <w:spacing w:before="0" w:after="0"/>
              <w:jc w:val="left"/>
              <w:rPr/>
            </w:pPr>
            <w:r>
              <w:rPr/>
              <w:t> </w:t>
            </w:r>
            <w:r>
              <w:rPr>
                <w:rFonts w:ascii="ARIAL" w:hAnsi="ARIAL"/>
                <w:sz w:val="22"/>
              </w:rPr>
              <w:t>Non-Executive Officer Employees as a Group</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40" w:type="dxa"/>
            </w:tcMar>
            <w:vAlign w:val="center"/>
          </w:tcPr>
          <w:p>
            <w:pPr>
              <w:pStyle w:val="TableContents"/>
              <w:bidi w:val="0"/>
              <w:spacing w:before="0" w:after="283"/>
              <w:jc w:val="left"/>
              <w:rPr/>
            </w:pPr>
            <w:r>
              <w:rPr/>
              <w:t> </w:t>
            </w:r>
          </w:p>
        </w:tc>
        <w:tc>
          <w:tcPr>
            <w:tcW w:w="1566" w:type="dxa"/>
            <w:tcBorders>
              <w:bottom w:val="single" w:sz="6" w:space="0" w:color="000000"/>
            </w:tcBorders>
            <w:tcMar>
              <w:bottom w:w="40" w:type="dxa"/>
            </w:tcMar>
            <w:vAlign w:val="center"/>
          </w:tcPr>
          <w:p>
            <w:pPr>
              <w:pStyle w:val="TableContents"/>
              <w:bidi w:val="0"/>
              <w:spacing w:before="0" w:after="283"/>
              <w:jc w:val="center"/>
              <w:rPr/>
            </w:pPr>
            <w:r>
              <w:rPr/>
              <w:t>N/A</w:t>
            </w:r>
          </w:p>
        </w:tc>
        <w:tc>
          <w:tcPr>
            <w:tcW w:w="75"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464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566"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p>
        </w:tc>
        <w:tc>
          <w:tcPr>
            <w:tcW w:w="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rFonts w:ascii="ARIAL" w:hAnsi="ARIAL"/>
                <w:sz w:val="18"/>
              </w:rPr>
            </w:pPr>
            <w:r>
              <w:rPr>
                <w:rFonts w:ascii="ARIAL" w:hAnsi="ARIAL"/>
                <w:sz w:val="18"/>
              </w:rPr>
              <w:t xml:space="preserve">The amount disclosed is an estimate for all restricted stock units to be issued after the Annual Meeting to our seven non-employee directors seeking re-election, using the current $160,000 target grant date value per non-employee director for restricted stock unit awards under the current non-employee director compensation program.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48EC3"/>
          <w:sz w:val="22"/>
        </w:rPr>
      </w:pPr>
      <w:r>
        <w:rPr>
          <w:rFonts w:ascii="ARIAL" w:hAnsi="ARIAL"/>
          <w:b/>
          <w:color w:val="248EC3"/>
          <w:sz w:val="22"/>
        </w:rPr>
        <w:t xml:space="preserve">VOTE REQUIRED </w:t>
      </w:r>
    </w:p>
    <w:p>
      <w:pPr>
        <w:pStyle w:val="TextBody"/>
        <w:bidi w:val="0"/>
        <w:spacing w:before="240" w:after="0"/>
        <w:jc w:val="both"/>
        <w:rPr>
          <w:rFonts w:ascii="ARIAL" w:hAnsi="ARIAL"/>
          <w:sz w:val="22"/>
        </w:rPr>
      </w:pPr>
      <w:r>
        <w:rPr>
          <w:rFonts w:ascii="ARIAL" w:hAnsi="ARIAL"/>
          <w:sz w:val="22"/>
        </w:rPr>
        <w:t xml:space="preserve">Stockholder approval of the 2026 Plan requires an affirmative vote of a majority of the shares of the Company’s common stock present in person or by proxy and entitled to vote at the Annual Meeting. If our stockholders do not approve the 2026 Plan, the 2026 Plan will have no effect. In such case, the Prior Plan will remain in effect. </w:t>
      </w:r>
    </w:p>
    <w:p>
      <w:pPr>
        <w:pStyle w:val="TextBody"/>
        <w:bidi w:val="0"/>
        <w:spacing w:before="360" w:after="0"/>
        <w:jc w:val="left"/>
        <w:rPr>
          <w:rFonts w:ascii="ARIAL" w:hAnsi="ARIAL"/>
          <w:b/>
          <w:color w:val="248EC3"/>
          <w:sz w:val="22"/>
        </w:rPr>
      </w:pPr>
      <w:r>
        <w:rPr>
          <w:rFonts w:ascii="ARIAL" w:hAnsi="ARIAL"/>
          <w:b/>
          <w:color w:val="248EC3"/>
          <w:sz w:val="22"/>
        </w:rPr>
        <w:t xml:space="preserve">REGISTRATION WITH THE SEC </w:t>
      </w:r>
    </w:p>
    <w:p>
      <w:pPr>
        <w:pStyle w:val="TextBody"/>
        <w:bidi w:val="0"/>
        <w:spacing w:before="240" w:after="0"/>
        <w:jc w:val="both"/>
        <w:rPr>
          <w:rFonts w:ascii="ARIAL" w:hAnsi="ARIAL"/>
          <w:sz w:val="22"/>
        </w:rPr>
      </w:pPr>
      <w:r>
        <w:rPr>
          <w:rFonts w:ascii="ARIAL" w:hAnsi="ARIAL"/>
          <w:sz w:val="22"/>
        </w:rPr>
        <w:t xml:space="preserve">We intend to file a Registration Statement on Form S-8 relating to the issuance of shares of our common stock under the 2026 Plan with the SEC pursuant to the Securities Act, as soon as practicable after approval of the 2026 Plan by our stockholders. </w:t>
      </w:r>
    </w:p>
    <w:p>
      <w:pPr>
        <w:pStyle w:val="TextBody"/>
        <w:bidi w:val="0"/>
        <w:spacing w:before="240" w:after="0"/>
        <w:jc w:val="both"/>
        <w:rPr>
          <w:rFonts w:ascii="ARIAL" w:hAnsi="ARIAL"/>
          <w:sz w:val="22"/>
        </w:rPr>
      </w:pPr>
      <w:r>
        <w:rPr>
          <w:rFonts w:ascii="ARIAL" w:hAnsi="ARIAL"/>
          <w:sz w:val="22"/>
        </w:rPr>
        <w:t xml:space="preserve">The following resolution is submitted for a stockholder vote at the Annual Meeting: </w:t>
      </w:r>
    </w:p>
    <w:p>
      <w:pPr>
        <w:pStyle w:val="TextBody"/>
        <w:bidi w:val="0"/>
        <w:spacing w:before="240" w:after="0"/>
        <w:jc w:val="both"/>
        <w:rPr/>
      </w:pPr>
      <w:r>
        <w:rPr/>
        <w:t>“</w:t>
      </w:r>
      <w:r>
        <w:rPr>
          <w:rFonts w:ascii="ARIAL" w:hAnsi="ARIAL"/>
          <w:sz w:val="22"/>
        </w:rPr>
        <w:t xml:space="preserve">RESOLVED, that the Newell Brands Inc. 2026 Incentive Plan, as set forth in Appendix A to this Proxy Statement, is hereby approved, adopted and authorized in all respects.” </w:t>
      </w:r>
    </w:p>
    <w:p>
      <w:pPr>
        <w:pStyle w:val="TextBody"/>
        <w:bidi w:val="0"/>
        <w:spacing w:before="240" w:after="0"/>
        <w:jc w:val="both"/>
        <w:rPr>
          <w:rFonts w:ascii="ARIAL" w:hAnsi="ARIAL"/>
          <w:sz w:val="22"/>
        </w:rPr>
      </w:pPr>
      <w:r>
        <w:rPr>
          <w:rFonts w:ascii="ARIAL" w:hAnsi="ARIAL"/>
          <w:b/>
          <w:sz w:val="22"/>
        </w:rPr>
        <w:t>The Board unanimously recommends that you vote “FOR” the resolution to approve the Newell Brands Inc. 2026 Incentive Plan.</w:t>
      </w:r>
      <w:r>
        <w:rPr>
          <w:rFonts w:ascii="ARIAL" w:hAnsi="ARIAL"/>
          <w:sz w:val="22"/>
        </w:rPr>
        <w:t xml:space="preserv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248EC3"/>
          <w:sz w:val="22"/>
        </w:rPr>
      </w:pPr>
      <w:bookmarkStart w:id="16" w:name="toc52719_14"/>
      <w:bookmarkEnd w:id="16"/>
      <w:r>
        <w:rPr>
          <w:rFonts w:ascii="ARIAL" w:hAnsi="ARIAL"/>
          <w:b/>
          <w:color w:val="248EC3"/>
          <w:sz w:val="22"/>
        </w:rPr>
        <w:t xml:space="preserve">EQUITY COMPENSATION PLAN INFORMATION </w:t>
      </w:r>
    </w:p>
    <w:p>
      <w:pPr>
        <w:pStyle w:val="TextBody"/>
        <w:bidi w:val="0"/>
        <w:spacing w:before="240" w:after="0"/>
        <w:jc w:val="both"/>
        <w:rPr>
          <w:rFonts w:ascii="ARIAL" w:hAnsi="ARIAL"/>
          <w:sz w:val="22"/>
        </w:rPr>
      </w:pPr>
      <w:r>
        <w:rPr>
          <w:rFonts w:ascii="ARIAL" w:hAnsi="ARIAL"/>
          <w:sz w:val="22"/>
        </w:rPr>
        <w:t xml:space="preserve">The following table summarizes information, as of December 31, 2025, relating to equity compensation plans of the Company under which the Company’s common stock is authorized for issuance.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75"/>
        <w:gridCol w:w="120"/>
        <w:gridCol w:w="91"/>
        <w:gridCol w:w="1684"/>
        <w:gridCol w:w="60"/>
        <w:gridCol w:w="120"/>
        <w:gridCol w:w="134"/>
        <w:gridCol w:w="1251"/>
        <w:gridCol w:w="60"/>
        <w:gridCol w:w="120"/>
        <w:gridCol w:w="104"/>
        <w:gridCol w:w="1911"/>
        <w:gridCol w:w="75"/>
      </w:tblGrid>
      <w:tr>
        <w:trPr/>
        <w:tc>
          <w:tcPr>
            <w:tcW w:w="4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75" w:type="dxa"/>
            <w:tcBorders>
              <w:bottom w:val="single" w:sz="6" w:space="0" w:color="000000"/>
            </w:tcBorders>
            <w:tcMar>
              <w:bottom w:w="40" w:type="dxa"/>
            </w:tcMar>
            <w:vAlign w:val="center"/>
          </w:tcPr>
          <w:p>
            <w:pPr>
              <w:pStyle w:val="TableContents"/>
              <w:bidi w:val="0"/>
              <w:spacing w:before="0" w:after="283"/>
              <w:jc w:val="left"/>
              <w:rPr/>
            </w:pPr>
            <w:r>
              <w:rPr/>
              <w:t> </w:t>
            </w:r>
            <w:r>
              <w:rPr>
                <w:b/>
              </w:rPr>
              <w:t>Plan Category</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7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Number of</w:t>
              <w:br/>
              <w:t>securities</w:t>
              <w:br/>
              <w:t>to be issued upon</w:t>
              <w:br/>
              <w:t>exercise of</w:t>
              <w:br/>
              <w:t>outstanding</w:t>
              <w:br/>
              <w:t>options,</w:t>
              <w:br/>
              <w:t>warrants and</w:t>
              <w:br/>
              <w:t>rights</w:t>
              <w:br/>
              <w:t>(a)(1)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Weighted-</w:t>
              <w:br/>
              <w:t>average</w:t>
              <w:br/>
              <w:t>exercise price</w:t>
              <w:br/>
              <w:t>of</w:t>
              <w:br/>
              <w:t>outstanding</w:t>
              <w:br/>
              <w:t>options,</w:t>
              <w:br/>
              <w:t>warrants</w:t>
              <w:br/>
              <w:t>and rights</w:t>
              <w:br/>
              <w:t>(b)(2)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01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Number of</w:t>
              <w:br/>
              <w:t>securities</w:t>
              <w:br/>
              <w:t>remaining available</w:t>
              <w:br/>
              <w:t>for</w:t>
              <w:br/>
              <w:t>future issuance</w:t>
              <w:br/>
              <w:t>under</w:t>
              <w:br/>
              <w:t>equity</w:t>
              <w:br/>
              <w:t>compensation</w:t>
              <w:br/>
              <w:t>plans (excluding</w:t>
              <w:br/>
              <w:t>securities reflected</w:t>
              <w:br/>
              <w:t>in</w:t>
              <w:br/>
              <w:t>column (a))</w:t>
              <w:br/>
              <w:t>(c)(3)</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47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tcMar>
              <w:bottom w:w="28" w:type="dxa"/>
            </w:tcMar>
            <w:vAlign w:val="center"/>
          </w:tcPr>
          <w:p>
            <w:pPr>
              <w:pStyle w:val="TableContents"/>
              <w:bidi w:val="0"/>
              <w:spacing w:before="0" w:after="20"/>
              <w:jc w:val="left"/>
              <w:rPr/>
            </w:pPr>
            <w:r>
              <w:rPr/>
              <w:t> </w:t>
            </w:r>
          </w:p>
        </w:tc>
        <w:tc>
          <w:tcPr>
            <w:tcW w:w="1684" w:type="dxa"/>
            <w:tcBorders>
              <w:bottom w:val="single" w:sz="6" w:space="0" w:color="000000"/>
            </w:tcBorders>
            <w:tcMar>
              <w:bottom w:w="28" w:type="dxa"/>
            </w:tcMar>
            <w:vAlign w:val="center"/>
          </w:tcPr>
          <w:p>
            <w:pPr>
              <w:pStyle w:val="TableContents"/>
              <w:bidi w:val="0"/>
              <w:spacing w:before="0" w:after="20"/>
              <w:jc w:val="both"/>
              <w:rPr/>
            </w:pPr>
            <w:r>
              <w:rPr/>
              <w:t> </w:t>
            </w:r>
          </w:p>
        </w:tc>
        <w:tc>
          <w:tcPr>
            <w:tcW w:w="60" w:type="dxa"/>
            <w:tcBorders>
              <w:bottom w:val="single" w:sz="6" w:space="0" w:color="000000"/>
            </w:tcBorders>
            <w:tcMar>
              <w:bottom w:w="28" w:type="dxa"/>
            </w:tcMar>
            <w:vAlign w:val="center"/>
          </w:tcPr>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 w:type="dxa"/>
            <w:tcBorders>
              <w:bottom w:val="single" w:sz="6" w:space="0" w:color="000000"/>
            </w:tcBorders>
            <w:tcMar>
              <w:bottom w:w="28" w:type="dxa"/>
            </w:tcMar>
            <w:vAlign w:val="center"/>
          </w:tcPr>
          <w:p>
            <w:pPr>
              <w:pStyle w:val="TableContents"/>
              <w:bidi w:val="0"/>
              <w:spacing w:before="0" w:after="283"/>
              <w:jc w:val="left"/>
              <w:rPr/>
            </w:pPr>
            <w:r>
              <w:rPr/>
              <w:t> </w:t>
            </w:r>
          </w:p>
        </w:tc>
        <w:tc>
          <w:tcPr>
            <w:tcW w:w="1251"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1911"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475" w:type="dxa"/>
            <w:tcBorders/>
            <w:shd w:fill="D5EBF6" w:val="clear"/>
            <w:vAlign w:val="center"/>
          </w:tcPr>
          <w:p>
            <w:pPr>
              <w:pStyle w:val="TableContents"/>
              <w:bidi w:val="0"/>
              <w:spacing w:before="0" w:after="283"/>
              <w:jc w:val="left"/>
              <w:rPr>
                <w:sz w:val="4"/>
                <w:szCs w:val="4"/>
              </w:rPr>
            </w:pPr>
            <w:r>
              <w:rPr>
                <w:sz w:val="4"/>
                <w:szCs w:val="4"/>
              </w:rPr>
            </w:r>
          </w:p>
        </w:tc>
        <w:tc>
          <w:tcPr>
            <w:tcW w:w="1955" w:type="dxa"/>
            <w:gridSpan w:val="4"/>
            <w:tcBorders/>
            <w:shd w:fill="D5EBF6" w:val="clear"/>
            <w:vAlign w:val="center"/>
          </w:tcPr>
          <w:p>
            <w:pPr>
              <w:pStyle w:val="TableContents"/>
              <w:bidi w:val="0"/>
              <w:spacing w:before="0" w:after="283"/>
              <w:jc w:val="left"/>
              <w:rPr>
                <w:sz w:val="4"/>
                <w:szCs w:val="4"/>
              </w:rPr>
            </w:pPr>
            <w:r>
              <w:rPr>
                <w:sz w:val="4"/>
                <w:szCs w:val="4"/>
              </w:rPr>
            </w:r>
          </w:p>
        </w:tc>
        <w:tc>
          <w:tcPr>
            <w:tcW w:w="1565" w:type="dxa"/>
            <w:gridSpan w:val="4"/>
            <w:tcBorders/>
            <w:shd w:fill="D5EBF6" w:val="clear"/>
            <w:vAlign w:val="center"/>
          </w:tcPr>
          <w:p>
            <w:pPr>
              <w:pStyle w:val="TableContents"/>
              <w:bidi w:val="0"/>
              <w:spacing w:before="0" w:after="283"/>
              <w:jc w:val="left"/>
              <w:rPr>
                <w:sz w:val="4"/>
                <w:szCs w:val="4"/>
              </w:rPr>
            </w:pPr>
            <w:r>
              <w:rPr>
                <w:sz w:val="4"/>
                <w:szCs w:val="4"/>
              </w:rPr>
            </w:r>
          </w:p>
        </w:tc>
        <w:tc>
          <w:tcPr>
            <w:tcW w:w="2210" w:type="dxa"/>
            <w:gridSpan w:val="4"/>
            <w:tcBorders/>
            <w:shd w:fill="D5EBF6" w:val="clear"/>
            <w:vAlign w:val="center"/>
          </w:tcPr>
          <w:p>
            <w:pPr>
              <w:pStyle w:val="TableContents"/>
              <w:bidi w:val="0"/>
              <w:spacing w:before="0" w:after="283"/>
              <w:jc w:val="left"/>
              <w:rPr>
                <w:sz w:val="4"/>
                <w:szCs w:val="4"/>
              </w:rPr>
            </w:pPr>
            <w:r>
              <w:rPr>
                <w:sz w:val="4"/>
                <w:szCs w:val="4"/>
              </w:rPr>
            </w:r>
          </w:p>
        </w:tc>
      </w:tr>
      <w:tr>
        <w:trPr/>
        <w:tc>
          <w:tcPr>
            <w:tcW w:w="4475" w:type="dxa"/>
            <w:tcBorders/>
            <w:shd w:fill="D5EBF6" w:val="clear"/>
            <w:vAlign w:val="center"/>
          </w:tcPr>
          <w:p>
            <w:pPr>
              <w:pStyle w:val="TableContents"/>
              <w:bidi w:val="0"/>
              <w:spacing w:before="0" w:after="0"/>
              <w:jc w:val="left"/>
              <w:rPr>
                <w:rFonts w:ascii="ARIAL" w:hAnsi="ARIAL"/>
                <w:sz w:val="22"/>
              </w:rPr>
            </w:pPr>
            <w:r>
              <w:rPr>
                <w:rFonts w:ascii="ARIAL" w:hAnsi="ARIAL"/>
                <w:sz w:val="22"/>
              </w:rPr>
              <w:t>Equity compensation plans approved by security holders</w:t>
            </w:r>
          </w:p>
        </w:tc>
        <w:tc>
          <w:tcPr>
            <w:tcW w:w="120" w:type="dxa"/>
            <w:tcBorders/>
            <w:shd w:fill="D5EBF6" w:val="clear"/>
            <w:vAlign w:val="center"/>
          </w:tcPr>
          <w:p>
            <w:pPr>
              <w:pStyle w:val="TableContents"/>
              <w:bidi w:val="0"/>
              <w:spacing w:before="0" w:after="283"/>
              <w:jc w:val="left"/>
              <w:rPr/>
            </w:pPr>
            <w:r>
              <w:rPr/>
              <w:t>  </w:t>
            </w:r>
          </w:p>
        </w:tc>
        <w:tc>
          <w:tcPr>
            <w:tcW w:w="91" w:type="dxa"/>
            <w:tcBorders/>
            <w:shd w:fill="D5EBF6" w:val="clear"/>
            <w:vAlign w:val="center"/>
          </w:tcPr>
          <w:p>
            <w:pPr>
              <w:pStyle w:val="TableContents"/>
              <w:bidi w:val="0"/>
              <w:spacing w:before="0" w:after="283"/>
              <w:jc w:val="left"/>
              <w:rPr/>
            </w:pPr>
            <w:r>
              <w:rPr/>
              <w:t> </w:t>
            </w:r>
          </w:p>
        </w:tc>
        <w:tc>
          <w:tcPr>
            <w:tcW w:w="1684" w:type="dxa"/>
            <w:tcBorders/>
            <w:shd w:fill="D5EBF6" w:val="clear"/>
            <w:vAlign w:val="center"/>
          </w:tcPr>
          <w:p>
            <w:pPr>
              <w:pStyle w:val="TableContents"/>
              <w:bidi w:val="0"/>
              <w:spacing w:before="0" w:after="283"/>
              <w:jc w:val="center"/>
              <w:rPr/>
            </w:pPr>
            <w:r>
              <w:rPr/>
              <w:t>30,671,963</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134" w:type="dxa"/>
            <w:tcBorders/>
            <w:shd w:fill="D5EBF6" w:val="clear"/>
            <w:vAlign w:val="center"/>
          </w:tcPr>
          <w:p>
            <w:pPr>
              <w:pStyle w:val="TableContents"/>
              <w:bidi w:val="0"/>
              <w:spacing w:before="0" w:after="283"/>
              <w:jc w:val="left"/>
              <w:rPr/>
            </w:pPr>
            <w:r>
              <w:rPr/>
              <w:t> </w:t>
            </w:r>
          </w:p>
        </w:tc>
        <w:tc>
          <w:tcPr>
            <w:tcW w:w="1251" w:type="dxa"/>
            <w:tcBorders/>
            <w:shd w:fill="D5EBF6" w:val="clear"/>
            <w:vAlign w:val="center"/>
          </w:tcPr>
          <w:p>
            <w:pPr>
              <w:pStyle w:val="TableContents"/>
              <w:bidi w:val="0"/>
              <w:spacing w:before="0" w:after="283"/>
              <w:jc w:val="center"/>
              <w:rPr/>
            </w:pPr>
            <w:r>
              <w:rPr/>
              <w:t>21.45</w:t>
            </w:r>
          </w:p>
        </w:tc>
        <w:tc>
          <w:tcPr>
            <w:tcW w:w="60" w:type="dxa"/>
            <w:tcBorders/>
            <w:shd w:fill="D5EBF6" w:val="clear"/>
            <w:vAlign w:val="center"/>
          </w:tcPr>
          <w:p>
            <w:pPr>
              <w:pStyle w:val="TableContents"/>
              <w:bidi w:val="0"/>
              <w:spacing w:before="0" w:after="283"/>
              <w:jc w:val="left"/>
              <w:rPr/>
            </w:pPr>
            <w:r>
              <w:rPr/>
              <w:t> </w:t>
            </w:r>
          </w:p>
        </w:tc>
        <w:tc>
          <w:tcPr>
            <w:tcW w:w="120" w:type="dxa"/>
            <w:tcBorders/>
            <w:shd w:fill="D5EBF6" w:val="clear"/>
            <w:vAlign w:val="center"/>
          </w:tcPr>
          <w:p>
            <w:pPr>
              <w:pStyle w:val="TableContents"/>
              <w:bidi w:val="0"/>
              <w:spacing w:before="0" w:after="283"/>
              <w:jc w:val="left"/>
              <w:rPr/>
            </w:pPr>
            <w:r>
              <w:rPr/>
              <w:t>  </w:t>
            </w:r>
          </w:p>
        </w:tc>
        <w:tc>
          <w:tcPr>
            <w:tcW w:w="104" w:type="dxa"/>
            <w:tcBorders/>
            <w:shd w:fill="D5EBF6" w:val="clear"/>
            <w:vAlign w:val="center"/>
          </w:tcPr>
          <w:p>
            <w:pPr>
              <w:pStyle w:val="TableContents"/>
              <w:bidi w:val="0"/>
              <w:spacing w:before="0" w:after="283"/>
              <w:jc w:val="left"/>
              <w:rPr/>
            </w:pPr>
            <w:r>
              <w:rPr/>
              <w:t> </w:t>
            </w:r>
          </w:p>
        </w:tc>
        <w:tc>
          <w:tcPr>
            <w:tcW w:w="1911" w:type="dxa"/>
            <w:tcBorders/>
            <w:shd w:fill="D5EBF6" w:val="clear"/>
            <w:vAlign w:val="center"/>
          </w:tcPr>
          <w:p>
            <w:pPr>
              <w:pStyle w:val="TableContents"/>
              <w:bidi w:val="0"/>
              <w:spacing w:before="0" w:after="283"/>
              <w:jc w:val="center"/>
              <w:rPr/>
            </w:pPr>
            <w:r>
              <w:rPr/>
              <w:t>22,533,872</w:t>
            </w:r>
          </w:p>
        </w:tc>
        <w:tc>
          <w:tcPr>
            <w:tcW w:w="75" w:type="dxa"/>
            <w:tcBorders/>
            <w:shd w:fill="D5EBF6"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195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r>
      <w:tr>
        <w:trPr/>
        <w:tc>
          <w:tcPr>
            <w:tcW w:w="4475" w:type="dxa"/>
            <w:tcBorders>
              <w:bottom w:val="single" w:sz="6" w:space="0" w:color="000000"/>
            </w:tcBorders>
            <w:tcMar>
              <w:bottom w:w="40" w:type="dxa"/>
            </w:tcMar>
            <w:vAlign w:val="center"/>
          </w:tcPr>
          <w:p>
            <w:pPr>
              <w:pStyle w:val="TableContents"/>
              <w:bidi w:val="0"/>
              <w:spacing w:before="0" w:after="0"/>
              <w:jc w:val="left"/>
              <w:rPr>
                <w:rFonts w:ascii="ARIAL" w:hAnsi="ARIAL"/>
                <w:sz w:val="22"/>
              </w:rPr>
            </w:pPr>
            <w:r>
              <w:rPr>
                <w:rFonts w:ascii="ARIAL" w:hAnsi="ARIAL"/>
                <w:sz w:val="22"/>
              </w:rPr>
              <w:t>Equity compensation plans not approved by security holders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tcMar>
              <w:bottom w:w="40" w:type="dxa"/>
            </w:tcMar>
            <w:vAlign w:val="center"/>
          </w:tcPr>
          <w:p>
            <w:pPr>
              <w:pStyle w:val="TableContents"/>
              <w:bidi w:val="0"/>
              <w:spacing w:before="0" w:after="283"/>
              <w:jc w:val="left"/>
              <w:rPr/>
            </w:pPr>
            <w:r>
              <w:rPr/>
              <w:t> </w:t>
            </w:r>
          </w:p>
        </w:tc>
        <w:tc>
          <w:tcPr>
            <w:tcW w:w="1684" w:type="dxa"/>
            <w:tcBorders>
              <w:bottom w:val="single" w:sz="6" w:space="0" w:color="000000"/>
            </w:tcBorders>
            <w:tcMar>
              <w:bottom w:w="40" w:type="dxa"/>
            </w:tcMar>
            <w:vAlign w:val="center"/>
          </w:tcPr>
          <w:p>
            <w:pPr>
              <w:pStyle w:val="TableContents"/>
              <w:bidi w:val="0"/>
              <w:spacing w:before="0" w:after="283"/>
              <w:jc w:val="center"/>
              <w:rPr/>
            </w:pPr>
            <w:r>
              <w:rPr/>
              <w:t>N/A</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 w:type="dxa"/>
            <w:tcBorders>
              <w:bottom w:val="single" w:sz="6" w:space="0" w:color="000000"/>
            </w:tcBorders>
            <w:tcMar>
              <w:bottom w:w="40" w:type="dxa"/>
            </w:tcMar>
            <w:vAlign w:val="center"/>
          </w:tcPr>
          <w:p>
            <w:pPr>
              <w:pStyle w:val="TableContents"/>
              <w:bidi w:val="0"/>
              <w:spacing w:before="0" w:after="283"/>
              <w:jc w:val="left"/>
              <w:rPr/>
            </w:pPr>
            <w:r>
              <w:rPr/>
              <w:t> </w:t>
            </w:r>
          </w:p>
        </w:tc>
        <w:tc>
          <w:tcPr>
            <w:tcW w:w="1251" w:type="dxa"/>
            <w:tcBorders>
              <w:bottom w:val="single" w:sz="6" w:space="0" w:color="000000"/>
            </w:tcBorders>
            <w:tcMar>
              <w:bottom w:w="40" w:type="dxa"/>
            </w:tcMar>
            <w:vAlign w:val="center"/>
          </w:tcPr>
          <w:p>
            <w:pPr>
              <w:pStyle w:val="TableContents"/>
              <w:bidi w:val="0"/>
              <w:spacing w:before="0" w:after="283"/>
              <w:jc w:val="center"/>
              <w:rPr/>
            </w:pPr>
            <w:r>
              <w:rPr/>
              <w:t>N/A</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bottom w:val="single" w:sz="6" w:space="0" w:color="000000"/>
            </w:tcBorders>
            <w:tcMar>
              <w:bottom w:w="40" w:type="dxa"/>
            </w:tcMar>
            <w:vAlign w:val="center"/>
          </w:tcPr>
          <w:p>
            <w:pPr>
              <w:pStyle w:val="TableContents"/>
              <w:bidi w:val="0"/>
              <w:spacing w:before="0" w:after="283"/>
              <w:jc w:val="left"/>
              <w:rPr/>
            </w:pPr>
            <w:r>
              <w:rPr/>
              <w:t> </w:t>
            </w:r>
          </w:p>
        </w:tc>
        <w:tc>
          <w:tcPr>
            <w:tcW w:w="1911" w:type="dxa"/>
            <w:tcBorders>
              <w:bottom w:val="single" w:sz="6" w:space="0" w:color="000000"/>
            </w:tcBorders>
            <w:tcMar>
              <w:bottom w:w="40" w:type="dxa"/>
            </w:tcMar>
            <w:vAlign w:val="center"/>
          </w:tcPr>
          <w:p>
            <w:pPr>
              <w:pStyle w:val="TableContents"/>
              <w:bidi w:val="0"/>
              <w:spacing w:before="0" w:after="283"/>
              <w:jc w:val="center"/>
              <w:rPr/>
            </w:pPr>
            <w:r>
              <w:rPr/>
              <w:t>N/A</w:t>
            </w:r>
          </w:p>
        </w:tc>
        <w:tc>
          <w:tcPr>
            <w:tcW w:w="75"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447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tcMar>
              <w:bottom w:w="28" w:type="dxa"/>
            </w:tcMar>
            <w:vAlign w:val="center"/>
          </w:tcPr>
          <w:p>
            <w:pPr>
              <w:pStyle w:val="TableContents"/>
              <w:bidi w:val="0"/>
              <w:spacing w:before="0" w:after="20"/>
              <w:jc w:val="left"/>
              <w:rPr/>
            </w:pPr>
            <w:r>
              <w:rPr/>
              <w:t> </w:t>
            </w:r>
          </w:p>
        </w:tc>
        <w:tc>
          <w:tcPr>
            <w:tcW w:w="1684" w:type="dxa"/>
            <w:tcBorders>
              <w:bottom w:val="single" w:sz="6" w:space="0" w:color="000000"/>
            </w:tcBorders>
            <w:tcMar>
              <w:bottom w:w="28" w:type="dxa"/>
            </w:tcMar>
            <w:vAlign w:val="center"/>
          </w:tcPr>
          <w:p>
            <w:pPr>
              <w:pStyle w:val="TableContents"/>
              <w:bidi w:val="0"/>
              <w:spacing w:before="0" w:after="20"/>
              <w:jc w:val="both"/>
              <w:rPr/>
            </w:pPr>
            <w:r>
              <w:rPr/>
              <w:t> </w:t>
            </w:r>
          </w:p>
        </w:tc>
        <w:tc>
          <w:tcPr>
            <w:tcW w:w="60" w:type="dxa"/>
            <w:tcBorders>
              <w:bottom w:val="single" w:sz="6" w:space="0" w:color="000000"/>
            </w:tcBorders>
            <w:tcMar>
              <w:bottom w:w="28" w:type="dxa"/>
            </w:tcMar>
            <w:vAlign w:val="center"/>
          </w:tcPr>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 w:type="dxa"/>
            <w:tcBorders>
              <w:bottom w:val="single" w:sz="6" w:space="0" w:color="000000"/>
            </w:tcBorders>
            <w:tcMar>
              <w:bottom w:w="28" w:type="dxa"/>
            </w:tcMar>
            <w:vAlign w:val="center"/>
          </w:tcPr>
          <w:p>
            <w:pPr>
              <w:pStyle w:val="TableContents"/>
              <w:bidi w:val="0"/>
              <w:spacing w:before="0" w:after="283"/>
              <w:jc w:val="left"/>
              <w:rPr/>
            </w:pPr>
            <w:r>
              <w:rPr/>
              <w:t> </w:t>
            </w:r>
          </w:p>
        </w:tc>
        <w:tc>
          <w:tcPr>
            <w:tcW w:w="1251"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1911"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ARIAL" w:hAnsi="ARIAL"/>
                <w:sz w:val="18"/>
              </w:rPr>
            </w:pPr>
            <w:r>
              <w:rPr>
                <w:rFonts w:ascii="ARIAL" w:hAnsi="ARIAL"/>
                <w:sz w:val="18"/>
              </w:rPr>
              <w:t xml:space="preserve">The number shown in column (a) is the number of shares that, as of December 31, 2025, may be issued upon exercise of outstanding options (5,720,357 options outstanding as of December 31, 2025) and vesting of RSUs (24,951,606 RSUs outstanding as of December 31, 2025) under the stockholder-approved Prior Plan and 2013 Plan. The 24,951,606 RSUs are comprised of 9,260,229 TRSUs and 15,691,377 PRSUs. As of December 31, 2025, 15,591,560 PRSUs, depending on the level of achievement of specified performance and market conditions, may range from a maximum payout of 200% to a minimum payout of 0% of the number of PRSUs granted. This column assumes that the PRSUs pay out at maximum, or 200%.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305"/>
        <w:gridCol w:w="8090"/>
      </w:tblGrid>
      <w:tr>
        <w:trPr/>
        <w:tc>
          <w:tcPr>
            <w:tcW w:w="305" w:type="dxa"/>
            <w:tcBorders/>
            <w:vAlign w:val="center"/>
          </w:tcPr>
          <w:p>
            <w:pPr>
              <w:pStyle w:val="TableContents"/>
              <w:bidi w:val="0"/>
              <w:spacing w:before="0" w:after="283"/>
              <w:jc w:val="left"/>
              <w:rPr/>
            </w:pPr>
            <w:r>
              <w:rPr/>
              <w:t>(2)</w:t>
            </w:r>
          </w:p>
        </w:tc>
        <w:tc>
          <w:tcPr>
            <w:tcW w:w="8090" w:type="dxa"/>
            <w:tcBorders/>
            <w:vAlign w:val="center"/>
          </w:tcPr>
          <w:p>
            <w:pPr>
              <w:pStyle w:val="TableContents"/>
              <w:bidi w:val="0"/>
              <w:spacing w:before="0" w:after="0"/>
              <w:jc w:val="both"/>
              <w:rPr>
                <w:rFonts w:ascii="ARIAL" w:hAnsi="ARIAL"/>
                <w:sz w:val="18"/>
              </w:rPr>
            </w:pPr>
            <w:r>
              <w:rPr>
                <w:rFonts w:ascii="ARIAL" w:hAnsi="ARIAL"/>
                <w:sz w:val="18"/>
              </w:rPr>
              <w:t xml:space="preserve">The price shown in column (b) is the weighted-average exercise price of outstanding stock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0"/>
              <w:jc w:val="both"/>
              <w:rPr>
                <w:rFonts w:ascii="ARIAL" w:hAnsi="ARIAL"/>
                <w:sz w:val="18"/>
              </w:rPr>
            </w:pPr>
            <w:r>
              <w:rPr>
                <w:rFonts w:ascii="ARIAL" w:hAnsi="ARIAL"/>
                <w:sz w:val="18"/>
              </w:rPr>
              <w:t xml:space="preserve">The amount shown in column (c) is the number of shares that, as of December 31, 2025, may be issued upon exercise of options and other equity awards (including awards other than options, warrants or rights) that may be granted in the future under the Prior Plan. For purposes of this column, the number reflects the payout on outstanding PRSUs at maximum or, as applicable, 200%. A payout at target or 100% on such outstanding PRSUs would result in a reduction of the deemed issuance of shares by 7,795,780 shares and the number of securities remaining available for future issuance under the Prior Plan would increase by approximately 19,879,239. Every share subject to an RSU award granted under the Prior Plan decreases availability under such plan by 2.55 shares. </w:t>
            </w:r>
          </w:p>
        </w:tc>
      </w:tr>
    </w:tbl>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248EC3"/>
          <w:sz w:val="22"/>
        </w:rPr>
      </w:pPr>
      <w:bookmarkStart w:id="17" w:name="toc52719_15"/>
      <w:bookmarkEnd w:id="17"/>
      <w:r>
        <w:rPr>
          <w:rFonts w:ascii="ARIAL" w:hAnsi="ARIAL"/>
          <w:b/>
          <w:color w:val="248EC3"/>
          <w:sz w:val="22"/>
        </w:rPr>
        <w:t xml:space="preserve">OTHER BUSINESS </w:t>
      </w:r>
    </w:p>
    <w:p>
      <w:pPr>
        <w:pStyle w:val="TextBody"/>
        <w:bidi w:val="0"/>
        <w:spacing w:before="240" w:after="0"/>
        <w:jc w:val="both"/>
        <w:rPr>
          <w:rFonts w:ascii="ARIAL" w:hAnsi="ARIAL"/>
          <w:sz w:val="22"/>
        </w:rPr>
      </w:pPr>
      <w:r>
        <w:rPr>
          <w:rFonts w:ascii="ARIAL" w:hAnsi="ARIAL"/>
          <w:sz w:val="22"/>
        </w:rPr>
        <w:t xml:space="preserve">The Board does not know of any business to be brought before the Annual Meeting other than the matters described in the notice of Annual Meeting. However, if any other matters properly come before the Annual Meeting or any adjournment or postponement of the Annual Meeting, each person named in the accompanying proxy intends to vote the proxy in accordance with his judgment on such matters. </w:t>
      </w:r>
    </w:p>
    <w:p>
      <w:pPr>
        <w:pStyle w:val="TextBody"/>
        <w:bidi w:val="0"/>
        <w:spacing w:before="240" w:after="0"/>
        <w:jc w:val="both"/>
        <w:rPr>
          <w:rFonts w:ascii="ARIAL" w:hAnsi="ARIAL"/>
          <w:sz w:val="22"/>
        </w:rPr>
      </w:pPr>
      <w:r>
        <w:rPr>
          <w:rFonts w:ascii="ARIAL" w:hAnsi="ARIAL"/>
          <w:sz w:val="22"/>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drawing>
          <wp:inline distT="0" distB="0" distL="0" distR="0">
            <wp:extent cx="2719070" cy="52133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719070" cy="521335"/>
                    </a:xfrm>
                    <a:prstGeom prst="rect">
                      <a:avLst/>
                    </a:prstGeom>
                  </pic:spPr>
                </pic:pic>
              </a:graphicData>
            </a:graphic>
          </wp:inline>
        </w:drawing>
      </w:r>
      <w:r>
        <w:rPr/>
        <w:t xml:space="preserve"> </w:t>
      </w:r>
    </w:p>
    <w:p>
      <w:pPr>
        <w:pStyle w:val="TextBody"/>
        <w:bidi w:val="0"/>
        <w:spacing w:before="0" w:after="0"/>
        <w:jc w:val="both"/>
        <w:rPr>
          <w:rFonts w:ascii="ARIAL" w:hAnsi="ARIAL"/>
          <w:sz w:val="22"/>
        </w:rPr>
      </w:pPr>
      <w:r>
        <w:rPr>
          <w:rFonts w:ascii="ARIAL" w:hAnsi="ARIAL"/>
          <w:sz w:val="22"/>
        </w:rPr>
        <w:t xml:space="preserve">Bradford R. Turner </w:t>
      </w:r>
    </w:p>
    <w:p>
      <w:pPr>
        <w:pStyle w:val="TextBody"/>
        <w:bidi w:val="0"/>
        <w:spacing w:before="0" w:after="0"/>
        <w:jc w:val="both"/>
        <w:rPr>
          <w:rFonts w:ascii="ARIAL" w:hAnsi="ARIAL"/>
          <w:i/>
          <w:sz w:val="22"/>
        </w:rPr>
      </w:pPr>
      <w:r>
        <w:rPr>
          <w:rFonts w:ascii="ARIAL" w:hAnsi="ARIAL"/>
          <w:i/>
          <w:sz w:val="22"/>
        </w:rPr>
        <w:t xml:space="preserve">Chief Legal and Administrative Officer and Corporate Secretary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38AAED"/>
          <w:sz w:val="22"/>
        </w:rPr>
      </w:pPr>
      <w:bookmarkStart w:id="18" w:name="toc52719_17"/>
      <w:bookmarkEnd w:id="18"/>
      <w:r>
        <w:rPr>
          <w:rFonts w:ascii="Arial" w:hAnsi="Arial"/>
          <w:b/>
          <w:color w:val="38AAED"/>
          <w:sz w:val="22"/>
        </w:rPr>
        <w:t>APPENDIX A</w:t>
      </w:r>
    </w:p>
    <w:p>
      <w:pPr>
        <w:pStyle w:val="TextBody"/>
        <w:bidi w:val="0"/>
        <w:spacing w:before="240" w:after="0"/>
        <w:jc w:val="center"/>
        <w:rPr>
          <w:rFonts w:ascii="Arial" w:hAnsi="Arial"/>
          <w:b/>
          <w:sz w:val="22"/>
        </w:rPr>
      </w:pPr>
      <w:r>
        <w:rPr>
          <w:rFonts w:ascii="Arial" w:hAnsi="Arial"/>
          <w:b/>
          <w:sz w:val="22"/>
        </w:rPr>
        <w:t xml:space="preserve">NEWELL BRANDS INC. </w:t>
      </w:r>
    </w:p>
    <w:p>
      <w:pPr>
        <w:pStyle w:val="TextBody"/>
        <w:bidi w:val="0"/>
        <w:spacing w:before="240" w:after="0"/>
        <w:jc w:val="center"/>
        <w:rPr>
          <w:rFonts w:ascii="Arial" w:hAnsi="Arial"/>
          <w:b/>
          <w:sz w:val="22"/>
        </w:rPr>
      </w:pPr>
      <w:r>
        <w:rPr>
          <w:rFonts w:ascii="Arial" w:hAnsi="Arial"/>
          <w:b/>
          <w:sz w:val="22"/>
        </w:rPr>
        <w:t xml:space="preserve">2026 INCENTIVE PLAN </w:t>
      </w:r>
    </w:p>
    <w:p>
      <w:pPr>
        <w:pStyle w:val="TextBody"/>
        <w:bidi w:val="0"/>
        <w:spacing w:before="480" w:after="0"/>
        <w:jc w:val="left"/>
        <w:rPr>
          <w:rFonts w:ascii="Arial" w:hAnsi="Arial"/>
          <w:b/>
          <w:sz w:val="22"/>
        </w:rPr>
      </w:pPr>
      <w:r>
        <w:rPr>
          <w:rFonts w:ascii="Arial" w:hAnsi="Arial"/>
          <w:b/>
          <w:sz w:val="22"/>
        </w:rPr>
        <w:t xml:space="preserve">Section 1. Purpose and Effective Date. </w:t>
      </w:r>
    </w:p>
    <w:p>
      <w:pPr>
        <w:pStyle w:val="TextBody"/>
        <w:bidi w:val="0"/>
        <w:spacing w:before="240" w:after="0"/>
        <w:jc w:val="both"/>
        <w:rPr>
          <w:rFonts w:ascii="Arial" w:hAnsi="Arial"/>
          <w:sz w:val="22"/>
        </w:rPr>
      </w:pPr>
      <w:r>
        <w:rPr>
          <w:rFonts w:ascii="Arial" w:hAnsi="Arial"/>
          <w:b/>
          <w:sz w:val="22"/>
        </w:rPr>
        <w:t>1.1</w:t>
      </w:r>
      <w:r>
        <w:rPr>
          <w:rFonts w:ascii="Arial" w:hAnsi="Arial"/>
          <w:sz w:val="22"/>
        </w:rPr>
        <w:t>  </w:t>
      </w:r>
      <w:r>
        <w:rPr>
          <w:rFonts w:ascii="Arial" w:hAnsi="Arial"/>
          <w:sz w:val="22"/>
          <w:u w:val="single"/>
        </w:rPr>
        <w:t>Purpose</w:t>
      </w:r>
      <w:r>
        <w:rPr>
          <w:rFonts w:ascii="Arial" w:hAnsi="Arial"/>
          <w:sz w:val="22"/>
        </w:rPr>
        <w:t>. The purpose of the Newell Brands Inc. 2026 Incentive Plan (the “</w:t>
      </w:r>
      <w:r>
        <w:rPr>
          <w:rFonts w:ascii="Arial" w:hAnsi="Arial"/>
          <w:sz w:val="22"/>
          <w:u w:val="single"/>
        </w:rPr>
        <w:t>Plan</w:t>
      </w:r>
      <w:r>
        <w:rPr>
          <w:rFonts w:ascii="Arial" w:hAnsi="Arial"/>
          <w:sz w:val="22"/>
        </w:rPr>
        <w:t xml:space="preserve">”) is to recognize the contributions made to the Company and its Subsidiaries by Employees of the Company and its Subsidiaries and Non-Employee Directors of the Company, to provide such persons with additional incentives to devote themselves to the future success of the Company and its Subsidiaries, and to improve the ability of the Company and its Subsidiaries to attract, retain and motivate individuals, by providing such persons with the opportunity to acquire or increase their proprietary interest in the Company through receipt of Awards of or relating to Common Stock or the receipt of other incentive compensation as provided in the Plan. </w:t>
      </w:r>
    </w:p>
    <w:p>
      <w:pPr>
        <w:pStyle w:val="TextBody"/>
        <w:bidi w:val="0"/>
        <w:spacing w:before="240" w:after="0"/>
        <w:jc w:val="both"/>
        <w:rPr>
          <w:rFonts w:ascii="Arial" w:hAnsi="Arial"/>
          <w:sz w:val="22"/>
        </w:rPr>
      </w:pPr>
      <w:r>
        <w:rPr>
          <w:rFonts w:ascii="Arial" w:hAnsi="Arial"/>
          <w:b/>
          <w:sz w:val="22"/>
        </w:rPr>
        <w:t>1.2</w:t>
      </w:r>
      <w:r>
        <w:rPr>
          <w:rFonts w:ascii="Arial" w:hAnsi="Arial"/>
          <w:sz w:val="22"/>
        </w:rPr>
        <w:t>  </w:t>
      </w:r>
      <w:r>
        <w:rPr>
          <w:rFonts w:ascii="Arial" w:hAnsi="Arial"/>
          <w:sz w:val="22"/>
          <w:u w:val="single"/>
        </w:rPr>
        <w:t>Effective Date</w:t>
      </w:r>
      <w:r>
        <w:rPr>
          <w:rFonts w:ascii="Arial" w:hAnsi="Arial"/>
          <w:sz w:val="22"/>
        </w:rPr>
        <w:t>. The Plan will become effective on the date on which the Plan is approved by the Company’s stockholders at the Company’s 2026 annual meeting of stockholders (“</w:t>
      </w:r>
      <w:r>
        <w:rPr>
          <w:rFonts w:ascii="Arial" w:hAnsi="Arial"/>
          <w:sz w:val="22"/>
          <w:u w:val="single"/>
        </w:rPr>
        <w:t>Effective Date</w:t>
      </w:r>
      <w:r>
        <w:rPr>
          <w:rFonts w:ascii="Arial" w:hAnsi="Arial"/>
          <w:sz w:val="22"/>
        </w:rPr>
        <w:t xml:space="preserve">”). If the Company’s stockholders approve the Plan, then the 2022 Plan will terminate on the Effective Date, and no new awards may be granted under the 2022 Plan after the Effective Date; provided, however, that the 2022 Plan shall continue to govern awards outstanding as of the date of such 2022 Plan’s termination and such awards shall continue in force and effect until terminated pursuant to their respective terms. </w:t>
      </w:r>
    </w:p>
    <w:p>
      <w:pPr>
        <w:pStyle w:val="TextBody"/>
        <w:bidi w:val="0"/>
        <w:spacing w:before="240" w:after="0"/>
        <w:jc w:val="both"/>
        <w:rPr>
          <w:rFonts w:ascii="Arial" w:hAnsi="Arial"/>
          <w:b/>
          <w:sz w:val="22"/>
        </w:rPr>
      </w:pPr>
      <w:r>
        <w:rPr>
          <w:rFonts w:ascii="Arial" w:hAnsi="Arial"/>
          <w:b/>
          <w:sz w:val="22"/>
        </w:rPr>
        <w:t xml:space="preserve">Section 2. Definitions. </w:t>
      </w:r>
    </w:p>
    <w:p>
      <w:pPr>
        <w:pStyle w:val="TextBody"/>
        <w:bidi w:val="0"/>
        <w:spacing w:before="240" w:after="0"/>
        <w:jc w:val="both"/>
        <w:rPr>
          <w:rFonts w:ascii="Arial" w:hAnsi="Arial"/>
          <w:sz w:val="22"/>
        </w:rPr>
      </w:pPr>
      <w:r>
        <w:rPr>
          <w:rFonts w:ascii="Arial" w:hAnsi="Arial"/>
          <w:sz w:val="22"/>
        </w:rPr>
        <w:t xml:space="preserve">As used in the Plan, the following terms shall have the meanings set forth below: </w:t>
      </w:r>
    </w:p>
    <w:p>
      <w:pPr>
        <w:pStyle w:val="TextBody"/>
        <w:bidi w:val="0"/>
        <w:spacing w:before="240" w:after="0"/>
        <w:jc w:val="both"/>
        <w:rPr>
          <w:rFonts w:ascii="Arial" w:hAnsi="Arial"/>
          <w:sz w:val="22"/>
        </w:rPr>
      </w:pPr>
      <w:r>
        <w:rPr>
          <w:rFonts w:ascii="Arial" w:hAnsi="Arial"/>
          <w:b/>
          <w:sz w:val="22"/>
        </w:rPr>
        <w:t>2.1</w:t>
      </w:r>
      <w:r>
        <w:rPr>
          <w:rFonts w:ascii="Arial" w:hAnsi="Arial"/>
          <w:sz w:val="22"/>
        </w:rPr>
        <w:t>  “</w:t>
      </w:r>
      <w:r>
        <w:rPr>
          <w:rFonts w:ascii="Arial" w:hAnsi="Arial"/>
          <w:sz w:val="22"/>
          <w:u w:val="single"/>
        </w:rPr>
        <w:t>2022 Plan</w:t>
      </w:r>
      <w:r>
        <w:rPr>
          <w:rFonts w:ascii="Arial" w:hAnsi="Arial"/>
          <w:sz w:val="22"/>
        </w:rPr>
        <w:t xml:space="preserve">” means the Newell Brands Inc. 2022 Incentive Plan, as amended. </w:t>
      </w:r>
    </w:p>
    <w:p>
      <w:pPr>
        <w:pStyle w:val="TextBody"/>
        <w:bidi w:val="0"/>
        <w:spacing w:before="240" w:after="0"/>
        <w:jc w:val="both"/>
        <w:rPr>
          <w:rFonts w:ascii="Arial" w:hAnsi="Arial"/>
          <w:sz w:val="22"/>
        </w:rPr>
      </w:pPr>
      <w:r>
        <w:rPr>
          <w:rFonts w:ascii="Arial" w:hAnsi="Arial"/>
          <w:b/>
          <w:sz w:val="22"/>
        </w:rPr>
        <w:t>2.2</w:t>
      </w:r>
      <w:r>
        <w:rPr>
          <w:rFonts w:ascii="Arial" w:hAnsi="Arial"/>
          <w:sz w:val="22"/>
        </w:rPr>
        <w:t>  “</w:t>
      </w:r>
      <w:r>
        <w:rPr>
          <w:rFonts w:ascii="Arial" w:hAnsi="Arial"/>
          <w:sz w:val="22"/>
          <w:u w:val="single"/>
        </w:rPr>
        <w:t>Award</w:t>
      </w:r>
      <w:r>
        <w:rPr>
          <w:rFonts w:ascii="Arial" w:hAnsi="Arial"/>
          <w:sz w:val="22"/>
        </w:rPr>
        <w:t xml:space="preserve">” means any award or benefit permitted and granted under the Plan, including Stock Options, Stock Awards, Stock Units, Stock Appreciation Rights, and Other Awards. </w:t>
      </w:r>
    </w:p>
    <w:p>
      <w:pPr>
        <w:pStyle w:val="TextBody"/>
        <w:bidi w:val="0"/>
        <w:spacing w:before="240" w:after="0"/>
        <w:jc w:val="both"/>
        <w:rPr>
          <w:rFonts w:ascii="Arial" w:hAnsi="Arial"/>
          <w:sz w:val="22"/>
        </w:rPr>
      </w:pPr>
      <w:r>
        <w:rPr>
          <w:rFonts w:ascii="Arial" w:hAnsi="Arial"/>
          <w:b/>
          <w:sz w:val="22"/>
        </w:rPr>
        <w:t>2.3</w:t>
      </w:r>
      <w:r>
        <w:rPr>
          <w:rFonts w:ascii="Arial" w:hAnsi="Arial"/>
          <w:sz w:val="22"/>
        </w:rPr>
        <w:t>  “</w:t>
      </w:r>
      <w:r>
        <w:rPr>
          <w:rFonts w:ascii="Arial" w:hAnsi="Arial"/>
          <w:sz w:val="22"/>
          <w:u w:val="single"/>
        </w:rPr>
        <w:t>Award Agreement</w:t>
      </w:r>
      <w:r>
        <w:rPr>
          <w:rFonts w:ascii="Arial" w:hAnsi="Arial"/>
          <w:sz w:val="22"/>
        </w:rPr>
        <w:t xml:space="preserve">” means any agreement, document, or other instrument (which may be in written or electronic form) evidencing an Award granted under the Plan and specifying the terms, conditions, and restrictions thereof, including, without limitation, a Stock Option Agreement, Stock Award Agreement, Stock Unit Agreement, and Stock Appreciation Right Agreement. </w:t>
      </w:r>
    </w:p>
    <w:p>
      <w:pPr>
        <w:pStyle w:val="TextBody"/>
        <w:bidi w:val="0"/>
        <w:spacing w:before="240" w:after="0"/>
        <w:jc w:val="both"/>
        <w:rPr>
          <w:rFonts w:ascii="Arial" w:hAnsi="Arial"/>
          <w:sz w:val="22"/>
        </w:rPr>
      </w:pPr>
      <w:r>
        <w:rPr>
          <w:rFonts w:ascii="Arial" w:hAnsi="Arial"/>
          <w:b/>
          <w:sz w:val="22"/>
        </w:rPr>
        <w:t>2.4</w:t>
      </w:r>
      <w:r>
        <w:rPr>
          <w:rFonts w:ascii="Arial" w:hAnsi="Arial"/>
          <w:sz w:val="22"/>
        </w:rPr>
        <w:t>  “</w:t>
      </w:r>
      <w:r>
        <w:rPr>
          <w:rFonts w:ascii="Arial" w:hAnsi="Arial"/>
          <w:sz w:val="22"/>
          <w:u w:val="single"/>
        </w:rPr>
        <w:t>Board</w:t>
      </w:r>
      <w:r>
        <w:rPr>
          <w:rFonts w:ascii="Arial" w:hAnsi="Arial"/>
          <w:sz w:val="22"/>
        </w:rPr>
        <w:t xml:space="preserve">” means the Board of Directors of the Company. </w:t>
      </w:r>
    </w:p>
    <w:p>
      <w:pPr>
        <w:pStyle w:val="TextBody"/>
        <w:bidi w:val="0"/>
        <w:spacing w:before="240" w:after="0"/>
        <w:jc w:val="both"/>
        <w:rPr>
          <w:rFonts w:ascii="Arial" w:hAnsi="Arial"/>
          <w:sz w:val="22"/>
        </w:rPr>
      </w:pPr>
      <w:r>
        <w:rPr>
          <w:rFonts w:ascii="Arial" w:hAnsi="Arial"/>
          <w:b/>
          <w:sz w:val="22"/>
        </w:rPr>
        <w:t>2.5</w:t>
      </w:r>
      <w:r>
        <w:rPr>
          <w:rFonts w:ascii="Arial" w:hAnsi="Arial"/>
          <w:sz w:val="22"/>
        </w:rPr>
        <w:t>   “</w:t>
      </w:r>
      <w:r>
        <w:rPr>
          <w:rFonts w:ascii="Arial" w:hAnsi="Arial"/>
          <w:sz w:val="22"/>
          <w:u w:val="single"/>
        </w:rPr>
        <w:t>Change in Control</w:t>
      </w:r>
      <w:r>
        <w:rPr>
          <w:rFonts w:ascii="Arial" w:hAnsi="Arial"/>
          <w:sz w:val="22"/>
        </w:rPr>
        <w:t xml:space="preserve">” has the meaning set forth in Section 12.2 of the Plan; provided, however, if an Award is deferred compensation subject to Section 409A, the Award Agreement may include an amended definition of “Change in Control” as necessary to comply with Section 409A.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b/>
          <w:sz w:val="22"/>
        </w:rPr>
        <w:t>2.6</w:t>
      </w:r>
      <w:r>
        <w:rPr>
          <w:rFonts w:ascii="Arial" w:hAnsi="Arial"/>
          <w:sz w:val="22"/>
        </w:rPr>
        <w:t>  “</w:t>
      </w:r>
      <w:r>
        <w:rPr>
          <w:rFonts w:ascii="Arial" w:hAnsi="Arial"/>
          <w:sz w:val="22"/>
          <w:u w:val="single"/>
        </w:rPr>
        <w:t>Code</w:t>
      </w:r>
      <w:r>
        <w:rPr>
          <w:rFonts w:ascii="Arial" w:hAnsi="Arial"/>
          <w:sz w:val="22"/>
        </w:rPr>
        <w:t xml:space="preserve">” means the Internal Revenue Code of 1986, as amended from time to time. </w:t>
      </w:r>
    </w:p>
    <w:p>
      <w:pPr>
        <w:pStyle w:val="TextBody"/>
        <w:bidi w:val="0"/>
        <w:spacing w:before="240" w:after="0"/>
        <w:jc w:val="both"/>
        <w:rPr>
          <w:rFonts w:ascii="Arial" w:hAnsi="Arial"/>
          <w:sz w:val="22"/>
        </w:rPr>
      </w:pPr>
      <w:r>
        <w:rPr>
          <w:rFonts w:ascii="Arial" w:hAnsi="Arial"/>
          <w:b/>
          <w:sz w:val="22"/>
        </w:rPr>
        <w:t>2.7</w:t>
      </w:r>
      <w:r>
        <w:rPr>
          <w:rFonts w:ascii="Arial" w:hAnsi="Arial"/>
          <w:sz w:val="22"/>
        </w:rPr>
        <w:t>  “</w:t>
      </w:r>
      <w:r>
        <w:rPr>
          <w:rFonts w:ascii="Arial" w:hAnsi="Arial"/>
          <w:sz w:val="22"/>
          <w:u w:val="single"/>
        </w:rPr>
        <w:t>Committee</w:t>
      </w:r>
      <w:r>
        <w:rPr>
          <w:rFonts w:ascii="Arial" w:hAnsi="Arial"/>
          <w:sz w:val="22"/>
        </w:rPr>
        <w:t xml:space="preserve">” means the Compensation and Human Capital Committee of the Board (or its successor(s)), or any other committee or subcommittee as may be designated by the Board or the Compensation and Human Capital Committee from time to time to administer the Plan. </w:t>
      </w:r>
    </w:p>
    <w:p>
      <w:pPr>
        <w:pStyle w:val="TextBody"/>
        <w:bidi w:val="0"/>
        <w:spacing w:before="240" w:after="0"/>
        <w:jc w:val="both"/>
        <w:rPr>
          <w:rFonts w:ascii="Arial" w:hAnsi="Arial"/>
          <w:sz w:val="22"/>
        </w:rPr>
      </w:pPr>
      <w:r>
        <w:rPr>
          <w:rFonts w:ascii="Arial" w:hAnsi="Arial"/>
          <w:b/>
          <w:sz w:val="22"/>
        </w:rPr>
        <w:t>2.8</w:t>
      </w:r>
      <w:r>
        <w:rPr>
          <w:rFonts w:ascii="Arial" w:hAnsi="Arial"/>
          <w:sz w:val="22"/>
        </w:rPr>
        <w:t>  “</w:t>
      </w:r>
      <w:r>
        <w:rPr>
          <w:rFonts w:ascii="Arial" w:hAnsi="Arial"/>
          <w:sz w:val="22"/>
          <w:u w:val="single"/>
        </w:rPr>
        <w:t>Common Stock</w:t>
      </w:r>
      <w:r>
        <w:rPr>
          <w:rFonts w:ascii="Arial" w:hAnsi="Arial"/>
          <w:sz w:val="22"/>
        </w:rPr>
        <w:t xml:space="preserve">” means the Common Stock, par value $1.00 per share, of the Company. </w:t>
      </w:r>
    </w:p>
    <w:p>
      <w:pPr>
        <w:pStyle w:val="TextBody"/>
        <w:bidi w:val="0"/>
        <w:spacing w:before="240" w:after="0"/>
        <w:jc w:val="both"/>
        <w:rPr>
          <w:rFonts w:ascii="Arial" w:hAnsi="Arial"/>
          <w:sz w:val="22"/>
        </w:rPr>
      </w:pPr>
      <w:r>
        <w:rPr>
          <w:rFonts w:ascii="Arial" w:hAnsi="Arial"/>
          <w:b/>
          <w:sz w:val="22"/>
        </w:rPr>
        <w:t>2.9</w:t>
      </w:r>
      <w:r>
        <w:rPr>
          <w:rFonts w:ascii="Arial" w:hAnsi="Arial"/>
          <w:sz w:val="22"/>
        </w:rPr>
        <w:t>  “</w:t>
      </w:r>
      <w:r>
        <w:rPr>
          <w:rFonts w:ascii="Arial" w:hAnsi="Arial"/>
          <w:sz w:val="22"/>
          <w:u w:val="single"/>
        </w:rPr>
        <w:t>Company</w:t>
      </w:r>
      <w:r>
        <w:rPr>
          <w:rFonts w:ascii="Arial" w:hAnsi="Arial"/>
          <w:sz w:val="22"/>
        </w:rPr>
        <w:t xml:space="preserve">” means Newell Brands Inc., a Delaware corporation, or any successor thereto. </w:t>
      </w:r>
    </w:p>
    <w:p>
      <w:pPr>
        <w:pStyle w:val="TextBody"/>
        <w:bidi w:val="0"/>
        <w:spacing w:before="240" w:after="0"/>
        <w:jc w:val="both"/>
        <w:rPr>
          <w:rFonts w:ascii="Arial" w:hAnsi="Arial"/>
          <w:sz w:val="22"/>
        </w:rPr>
      </w:pPr>
      <w:r>
        <w:rPr>
          <w:rFonts w:ascii="Arial" w:hAnsi="Arial"/>
          <w:b/>
          <w:sz w:val="22"/>
        </w:rPr>
        <w:t>2.10</w:t>
      </w:r>
      <w:r>
        <w:rPr>
          <w:rFonts w:ascii="Arial" w:hAnsi="Arial"/>
          <w:sz w:val="22"/>
        </w:rPr>
        <w:t>  “</w:t>
      </w:r>
      <w:r>
        <w:rPr>
          <w:rFonts w:ascii="Arial" w:hAnsi="Arial"/>
          <w:sz w:val="22"/>
          <w:u w:val="single"/>
        </w:rPr>
        <w:t>Director</w:t>
      </w:r>
      <w:r>
        <w:rPr>
          <w:rFonts w:ascii="Arial" w:hAnsi="Arial"/>
          <w:sz w:val="22"/>
        </w:rPr>
        <w:t xml:space="preserve">” means a member of the Board of Directors of the Company. </w:t>
      </w:r>
    </w:p>
    <w:p>
      <w:pPr>
        <w:pStyle w:val="TextBody"/>
        <w:bidi w:val="0"/>
        <w:spacing w:before="240" w:after="0"/>
        <w:jc w:val="both"/>
        <w:rPr>
          <w:rFonts w:ascii="Arial" w:hAnsi="Arial"/>
          <w:sz w:val="22"/>
        </w:rPr>
      </w:pPr>
      <w:r>
        <w:rPr>
          <w:rFonts w:ascii="Arial" w:hAnsi="Arial"/>
          <w:b/>
          <w:sz w:val="22"/>
        </w:rPr>
        <w:t>2.11</w:t>
      </w:r>
      <w:r>
        <w:rPr>
          <w:rFonts w:ascii="Arial" w:hAnsi="Arial"/>
          <w:sz w:val="22"/>
        </w:rPr>
        <w:t>  “</w:t>
      </w:r>
      <w:r>
        <w:rPr>
          <w:rFonts w:ascii="Arial" w:hAnsi="Arial"/>
          <w:sz w:val="22"/>
          <w:u w:val="single"/>
        </w:rPr>
        <w:t>Effective Date</w:t>
      </w:r>
      <w:r>
        <w:rPr>
          <w:rFonts w:ascii="Arial" w:hAnsi="Arial"/>
          <w:sz w:val="22"/>
        </w:rPr>
        <w:t xml:space="preserve">” means the date the Plan is approved by the stockholders of the Company at the Company’s 2026 annual meeting of stockholders as provided in Section 1.2. </w:t>
      </w:r>
    </w:p>
    <w:p>
      <w:pPr>
        <w:pStyle w:val="TextBody"/>
        <w:bidi w:val="0"/>
        <w:spacing w:before="240" w:after="0"/>
        <w:jc w:val="both"/>
        <w:rPr>
          <w:rFonts w:ascii="Arial" w:hAnsi="Arial"/>
          <w:sz w:val="22"/>
        </w:rPr>
      </w:pPr>
      <w:r>
        <w:rPr>
          <w:rFonts w:ascii="Arial" w:hAnsi="Arial"/>
          <w:b/>
          <w:sz w:val="22"/>
        </w:rPr>
        <w:t>2.12</w:t>
      </w:r>
      <w:r>
        <w:rPr>
          <w:rFonts w:ascii="Arial" w:hAnsi="Arial"/>
          <w:sz w:val="22"/>
        </w:rPr>
        <w:t>  “</w:t>
      </w:r>
      <w:r>
        <w:rPr>
          <w:rFonts w:ascii="Arial" w:hAnsi="Arial"/>
          <w:sz w:val="22"/>
          <w:u w:val="single"/>
        </w:rPr>
        <w:t>Employee</w:t>
      </w:r>
      <w:r>
        <w:rPr>
          <w:rFonts w:ascii="Arial" w:hAnsi="Arial"/>
          <w:sz w:val="22"/>
        </w:rPr>
        <w:t xml:space="preserve">” means any individual classified as an employee of the Company or any Subsidiary by the Company on its payroll system; provided, however, that with respect to Incentive Stock Options, the term “Employee” means any individual who is considered an employee of the Company or any Subsidiary for purposes of United States Treasury Regulation Section 1.421-1(h) (or any successor provision thereof). </w:t>
      </w:r>
    </w:p>
    <w:p>
      <w:pPr>
        <w:pStyle w:val="TextBody"/>
        <w:bidi w:val="0"/>
        <w:spacing w:before="240" w:after="0"/>
        <w:jc w:val="both"/>
        <w:rPr>
          <w:rFonts w:ascii="Arial" w:hAnsi="Arial"/>
          <w:sz w:val="22"/>
        </w:rPr>
      </w:pPr>
      <w:r>
        <w:rPr>
          <w:rFonts w:ascii="Arial" w:hAnsi="Arial"/>
          <w:b/>
          <w:sz w:val="22"/>
        </w:rPr>
        <w:t>2.13</w:t>
      </w:r>
      <w:r>
        <w:rPr>
          <w:rFonts w:ascii="Arial" w:hAnsi="Arial"/>
          <w:sz w:val="22"/>
        </w:rPr>
        <w:t>  “</w:t>
      </w:r>
      <w:r>
        <w:rPr>
          <w:rFonts w:ascii="Arial" w:hAnsi="Arial"/>
          <w:sz w:val="22"/>
          <w:u w:val="single"/>
        </w:rPr>
        <w:t>Exchange Act</w:t>
      </w:r>
      <w:r>
        <w:rPr>
          <w:rFonts w:ascii="Arial" w:hAnsi="Arial"/>
          <w:sz w:val="22"/>
        </w:rPr>
        <w:t xml:space="preserve">” means the Securities Exchange Act of 1934, as amended from time to time. </w:t>
      </w:r>
    </w:p>
    <w:p>
      <w:pPr>
        <w:pStyle w:val="TextBody"/>
        <w:bidi w:val="0"/>
        <w:spacing w:before="240" w:after="0"/>
        <w:jc w:val="both"/>
        <w:rPr>
          <w:rFonts w:ascii="Arial" w:hAnsi="Arial"/>
          <w:sz w:val="22"/>
        </w:rPr>
      </w:pPr>
      <w:r>
        <w:rPr>
          <w:rFonts w:ascii="Arial" w:hAnsi="Arial"/>
          <w:b/>
          <w:sz w:val="22"/>
        </w:rPr>
        <w:t>2.14</w:t>
      </w:r>
      <w:r>
        <w:rPr>
          <w:rFonts w:ascii="Arial" w:hAnsi="Arial"/>
          <w:sz w:val="22"/>
        </w:rPr>
        <w:t>  “</w:t>
      </w:r>
      <w:r>
        <w:rPr>
          <w:rFonts w:ascii="Arial" w:hAnsi="Arial"/>
          <w:sz w:val="22"/>
          <w:u w:val="single"/>
        </w:rPr>
        <w:t>Fair Market Value</w:t>
      </w:r>
      <w:r>
        <w:rPr>
          <w:rFonts w:ascii="Arial" w:hAnsi="Arial"/>
          <w:sz w:val="22"/>
        </w:rPr>
        <w:t xml:space="preserve">” means, on a particular date, the closing sales price of a share of Common Stock on the Nasdaq Global Select Market (as reported in The Wall Street Journal), or, if the Common Stock is not then listed on the Nasdaq Global Select Market, on any other national securities exchange on which the Common Stock is listed, or if no sales of Common Stock occur on such date, on the last preceding date on which there was a sale of Common Stock on such exchange. </w:t>
      </w:r>
    </w:p>
    <w:p>
      <w:pPr>
        <w:pStyle w:val="TextBody"/>
        <w:bidi w:val="0"/>
        <w:spacing w:before="240" w:after="0"/>
        <w:jc w:val="both"/>
        <w:rPr>
          <w:rFonts w:ascii="Arial" w:hAnsi="Arial"/>
          <w:sz w:val="22"/>
        </w:rPr>
      </w:pPr>
      <w:r>
        <w:rPr>
          <w:rFonts w:ascii="Arial" w:hAnsi="Arial"/>
          <w:b/>
          <w:sz w:val="22"/>
        </w:rPr>
        <w:t>2.15</w:t>
      </w:r>
      <w:r>
        <w:rPr>
          <w:rFonts w:ascii="Arial" w:hAnsi="Arial"/>
          <w:sz w:val="22"/>
        </w:rPr>
        <w:t>  “</w:t>
      </w:r>
      <w:r>
        <w:rPr>
          <w:rFonts w:ascii="Arial" w:hAnsi="Arial"/>
          <w:sz w:val="22"/>
          <w:u w:val="single"/>
        </w:rPr>
        <w:t>Good Cause</w:t>
      </w:r>
      <w:r>
        <w:rPr>
          <w:rFonts w:ascii="Arial" w:hAnsi="Arial"/>
          <w:sz w:val="22"/>
        </w:rPr>
        <w:t xml:space="preserve">” means: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  a Participant willfully engages in misconduct in the performance of his or her duties that causes material harm to the Company or any affiliate;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  a Participant materially breaches any Code of Conduct that applies to such Participant; or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  a Participant is convicted of a criminal violation involving fraud or dishonesty. </w:t>
      </w:r>
    </w:p>
    <w:p>
      <w:pPr>
        <w:pStyle w:val="TextBody"/>
        <w:bidi w:val="0"/>
        <w:spacing w:before="240" w:after="0"/>
        <w:jc w:val="both"/>
        <w:rPr>
          <w:rFonts w:ascii="Arial" w:hAnsi="Arial"/>
          <w:sz w:val="22"/>
        </w:rPr>
      </w:pPr>
      <w:r>
        <w:rPr>
          <w:rFonts w:ascii="Arial" w:hAnsi="Arial"/>
          <w:sz w:val="22"/>
        </w:rPr>
        <w:t xml:space="preserve">Without limiting the generality of the foregoing, the following shall not constitute Good Cause: the failure by the Participant and/or the Company or its affiliates to attain financial or other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business objectives; any personal or policy disagreement between the Participant and the Company or its affiliates or any member of the Board; or any action taken by the Participant in connection with his or her duties if the Participant has acted in good faith and in a manner he or she reasonably believed to be in, and not opposed to, the best interest of the Company and its affiliates and had no reasonable cause to believe his or her conduct was improper. Notwithstanding anything herein to the contrary, in the event the Company terminates the employment of a Participant who is an Employee for Good Cause hereunder, the Company shall give the Participant at least thirty (30) days’ prior written notice specifying in detail the reason or reasons for the Participant’s termination. </w:t>
      </w:r>
    </w:p>
    <w:p>
      <w:pPr>
        <w:pStyle w:val="TextBody"/>
        <w:bidi w:val="0"/>
        <w:spacing w:before="240" w:after="0"/>
        <w:jc w:val="both"/>
        <w:rPr>
          <w:rFonts w:ascii="Arial" w:hAnsi="Arial"/>
          <w:sz w:val="22"/>
        </w:rPr>
      </w:pPr>
      <w:r>
        <w:rPr>
          <w:rFonts w:ascii="Arial" w:hAnsi="Arial"/>
          <w:b/>
          <w:sz w:val="22"/>
        </w:rPr>
        <w:t>2.16</w:t>
      </w:r>
      <w:r>
        <w:rPr>
          <w:rFonts w:ascii="Arial" w:hAnsi="Arial"/>
          <w:sz w:val="22"/>
        </w:rPr>
        <w:t>  “</w:t>
      </w:r>
      <w:r>
        <w:rPr>
          <w:rFonts w:ascii="Arial" w:hAnsi="Arial"/>
          <w:sz w:val="22"/>
          <w:u w:val="single"/>
        </w:rPr>
        <w:t>Good Reason</w:t>
      </w:r>
      <w:r>
        <w:rPr>
          <w:rFonts w:ascii="Arial" w:hAnsi="Arial"/>
          <w:sz w:val="22"/>
        </w:rPr>
        <w:t xml:space="preserve">” means, in the case of a Participant who is an Employee: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  a material adverse change in the nature or scope of the Participant’s authority, duties or responsibilities;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  a material reduction in the Participant’s rate of base salary;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  the Company changes by fifty (50) miles or more the principal location at which the Participant is required to perform services; </w:t>
      </w:r>
    </w:p>
    <w:p>
      <w:pPr>
        <w:pStyle w:val="TextBody"/>
        <w:bidi w:val="0"/>
        <w:spacing w:before="240" w:after="0"/>
        <w:jc w:val="both"/>
        <w:rPr>
          <w:rFonts w:ascii="Arial" w:hAnsi="Arial"/>
          <w:sz w:val="22"/>
        </w:rPr>
      </w:pPr>
      <w:r>
        <w:rPr>
          <w:rFonts w:ascii="Arial" w:hAnsi="Arial"/>
          <w:b/>
          <w:sz w:val="22"/>
        </w:rPr>
        <w:t>(d)</w:t>
      </w:r>
      <w:r>
        <w:rPr>
          <w:rFonts w:ascii="Arial" w:hAnsi="Arial"/>
          <w:sz w:val="22"/>
        </w:rPr>
        <w:t xml:space="preserve">  the Company terminates or materially amends, or terminates or materially restricts the Participant’s participation in, any equity, bonus or equity-based compensation plans or qualified or supplemental retirement plans so that, when considered in the aggregate with any substitute plan or plans, the plans in which the Participant is participating materially fail to provide him or her with a level of benefits provided in the aggregate by such plans prior to such termination or amendment, but expressly excluding any reduction in benefits that is both applicable equally to all employees of the Company who participate in the affected plans and either (x) is made in connection with an extraordinary decline in the Company’s or any of its affiliates’ earnings, share price, or public image, or (y) is undertaken in order to make such plans consistent with the compensation programs of those companies with whom the Company or any of its affiliates compete for attracting/retaining talent; or </w:t>
      </w:r>
    </w:p>
    <w:p>
      <w:pPr>
        <w:pStyle w:val="TextBody"/>
        <w:bidi w:val="0"/>
        <w:spacing w:before="240" w:after="0"/>
        <w:jc w:val="both"/>
        <w:rPr>
          <w:rFonts w:ascii="Arial" w:hAnsi="Arial"/>
          <w:sz w:val="22"/>
        </w:rPr>
      </w:pPr>
      <w:r>
        <w:rPr>
          <w:rFonts w:ascii="Arial" w:hAnsi="Arial"/>
          <w:b/>
          <w:sz w:val="22"/>
        </w:rPr>
        <w:t>(e)</w:t>
      </w:r>
      <w:r>
        <w:rPr>
          <w:rFonts w:ascii="Arial" w:hAnsi="Arial"/>
          <w:sz w:val="22"/>
        </w:rPr>
        <w:t xml:space="preserve">  the Company materially breaches the provisions of an Award Agreement. </w:t>
      </w:r>
    </w:p>
    <w:p>
      <w:pPr>
        <w:pStyle w:val="TextBody"/>
        <w:bidi w:val="0"/>
        <w:spacing w:before="240" w:after="0"/>
        <w:jc w:val="both"/>
        <w:rPr>
          <w:rFonts w:ascii="Arial" w:hAnsi="Arial"/>
          <w:sz w:val="22"/>
        </w:rPr>
      </w:pPr>
      <w:r>
        <w:rPr>
          <w:rFonts w:ascii="Arial" w:hAnsi="Arial"/>
          <w:sz w:val="22"/>
        </w:rPr>
        <w:t xml:space="preserve">A termination of the Participant’s employment shall not be deemed to be for Good Reason unless (i) the Participant gives notice to the Company of the existence of the event or condition constituting Good Reason within thirty (30) days after such event or condition initially occurs or exists, (ii) the Company fails to cure such event or condition within thirty (30) days after receiving such notice, and (iii) the Participant’s termination occurs not later than ninety (90) days after such event or condition initially occurs or exists, in each case without the Participant’s written consent. </w:t>
      </w:r>
    </w:p>
    <w:p>
      <w:pPr>
        <w:pStyle w:val="TextBody"/>
        <w:bidi w:val="0"/>
        <w:spacing w:before="240" w:after="0"/>
        <w:jc w:val="both"/>
        <w:rPr>
          <w:rFonts w:ascii="Arial" w:hAnsi="Arial"/>
          <w:sz w:val="22"/>
        </w:rPr>
      </w:pPr>
      <w:r>
        <w:rPr>
          <w:rFonts w:ascii="Arial" w:hAnsi="Arial"/>
          <w:b/>
          <w:sz w:val="22"/>
        </w:rPr>
        <w:t>2.17</w:t>
      </w:r>
      <w:r>
        <w:rPr>
          <w:rFonts w:ascii="Arial" w:hAnsi="Arial"/>
          <w:sz w:val="22"/>
        </w:rPr>
        <w:t>  “</w:t>
      </w:r>
      <w:r>
        <w:rPr>
          <w:rFonts w:ascii="Arial" w:hAnsi="Arial"/>
          <w:sz w:val="22"/>
          <w:u w:val="single"/>
        </w:rPr>
        <w:t>Incentive Stock Option</w:t>
      </w:r>
      <w:r>
        <w:rPr>
          <w:rFonts w:ascii="Arial" w:hAnsi="Arial"/>
          <w:sz w:val="22"/>
        </w:rPr>
        <w:t>” or “</w:t>
      </w:r>
      <w:r>
        <w:rPr>
          <w:rFonts w:ascii="Arial" w:hAnsi="Arial"/>
          <w:sz w:val="22"/>
          <w:u w:val="single"/>
        </w:rPr>
        <w:t>ISO</w:t>
      </w:r>
      <w:r>
        <w:rPr>
          <w:rFonts w:ascii="Arial" w:hAnsi="Arial"/>
          <w:sz w:val="22"/>
        </w:rPr>
        <w:t xml:space="preserve">” means a Stock Option granted under Section 6 of the Plan that meets the requirements of Section 422(b) of the Code or any successor provision.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b/>
          <w:sz w:val="22"/>
        </w:rPr>
        <w:t>2.18</w:t>
      </w:r>
      <w:r>
        <w:rPr>
          <w:rFonts w:ascii="Arial" w:hAnsi="Arial"/>
          <w:sz w:val="22"/>
        </w:rPr>
        <w:t>  “</w:t>
      </w:r>
      <w:r>
        <w:rPr>
          <w:rFonts w:ascii="Arial" w:hAnsi="Arial"/>
          <w:sz w:val="22"/>
          <w:u w:val="single"/>
        </w:rPr>
        <w:t>Non-Employee Director</w:t>
      </w:r>
      <w:r>
        <w:rPr>
          <w:rFonts w:ascii="Arial" w:hAnsi="Arial"/>
          <w:sz w:val="22"/>
        </w:rPr>
        <w:t xml:space="preserve">” means a Director who is not an Employee. </w:t>
      </w:r>
    </w:p>
    <w:p>
      <w:pPr>
        <w:pStyle w:val="TextBody"/>
        <w:bidi w:val="0"/>
        <w:spacing w:before="240" w:after="0"/>
        <w:jc w:val="both"/>
        <w:rPr>
          <w:rFonts w:ascii="Arial" w:hAnsi="Arial"/>
          <w:sz w:val="22"/>
        </w:rPr>
      </w:pPr>
      <w:r>
        <w:rPr>
          <w:rFonts w:ascii="Arial" w:hAnsi="Arial"/>
          <w:b/>
          <w:sz w:val="22"/>
        </w:rPr>
        <w:t>2.19</w:t>
      </w:r>
      <w:r>
        <w:rPr>
          <w:rFonts w:ascii="Arial" w:hAnsi="Arial"/>
          <w:sz w:val="22"/>
        </w:rPr>
        <w:t>  “</w:t>
      </w:r>
      <w:r>
        <w:rPr>
          <w:rFonts w:ascii="Arial" w:hAnsi="Arial"/>
          <w:sz w:val="22"/>
          <w:u w:val="single"/>
        </w:rPr>
        <w:t>Non-Qualified Stock Option</w:t>
      </w:r>
      <w:r>
        <w:rPr>
          <w:rFonts w:ascii="Arial" w:hAnsi="Arial"/>
          <w:sz w:val="22"/>
        </w:rPr>
        <w:t>” or “</w:t>
      </w:r>
      <w:r>
        <w:rPr>
          <w:rFonts w:ascii="Arial" w:hAnsi="Arial"/>
          <w:sz w:val="22"/>
          <w:u w:val="single"/>
        </w:rPr>
        <w:t>NQSO</w:t>
      </w:r>
      <w:r>
        <w:rPr>
          <w:rFonts w:ascii="Arial" w:hAnsi="Arial"/>
          <w:sz w:val="22"/>
        </w:rPr>
        <w:t xml:space="preserve">” means a Stock Option granted under Section 6 of the Plan that is not an Incentive Stock Option. </w:t>
      </w:r>
    </w:p>
    <w:p>
      <w:pPr>
        <w:pStyle w:val="TextBody"/>
        <w:bidi w:val="0"/>
        <w:spacing w:before="240" w:after="0"/>
        <w:jc w:val="both"/>
        <w:rPr>
          <w:rFonts w:ascii="Arial" w:hAnsi="Arial"/>
          <w:sz w:val="22"/>
        </w:rPr>
      </w:pPr>
      <w:r>
        <w:rPr>
          <w:rFonts w:ascii="Arial" w:hAnsi="Arial"/>
          <w:b/>
          <w:sz w:val="22"/>
        </w:rPr>
        <w:t>2.20</w:t>
      </w:r>
      <w:r>
        <w:rPr>
          <w:rFonts w:ascii="Arial" w:hAnsi="Arial"/>
          <w:sz w:val="22"/>
        </w:rPr>
        <w:t>  “</w:t>
      </w:r>
      <w:r>
        <w:rPr>
          <w:rFonts w:ascii="Arial" w:hAnsi="Arial"/>
          <w:sz w:val="22"/>
          <w:u w:val="single"/>
        </w:rPr>
        <w:t>Other Award</w:t>
      </w:r>
      <w:r>
        <w:rPr>
          <w:rFonts w:ascii="Arial" w:hAnsi="Arial"/>
          <w:sz w:val="22"/>
        </w:rPr>
        <w:t xml:space="preserve">” means an Award granted under Section 10 of the Plan. </w:t>
      </w:r>
    </w:p>
    <w:p>
      <w:pPr>
        <w:pStyle w:val="TextBody"/>
        <w:bidi w:val="0"/>
        <w:spacing w:before="240" w:after="0"/>
        <w:jc w:val="both"/>
        <w:rPr>
          <w:rFonts w:ascii="Arial" w:hAnsi="Arial"/>
          <w:sz w:val="22"/>
        </w:rPr>
      </w:pPr>
      <w:r>
        <w:rPr>
          <w:rFonts w:ascii="Arial" w:hAnsi="Arial"/>
          <w:b/>
          <w:sz w:val="22"/>
        </w:rPr>
        <w:t>2.21</w:t>
      </w:r>
      <w:r>
        <w:rPr>
          <w:rFonts w:ascii="Arial" w:hAnsi="Arial"/>
          <w:sz w:val="22"/>
        </w:rPr>
        <w:t>  “</w:t>
      </w:r>
      <w:r>
        <w:rPr>
          <w:rFonts w:ascii="Arial" w:hAnsi="Arial"/>
          <w:sz w:val="22"/>
          <w:u w:val="single"/>
        </w:rPr>
        <w:t>Participant</w:t>
      </w:r>
      <w:r>
        <w:rPr>
          <w:rFonts w:ascii="Arial" w:hAnsi="Arial"/>
          <w:sz w:val="22"/>
        </w:rPr>
        <w:t xml:space="preserve">” means any Employee selected to receive an Award under the Plan and each Non-Employee Director. </w:t>
      </w:r>
    </w:p>
    <w:p>
      <w:pPr>
        <w:pStyle w:val="TextBody"/>
        <w:bidi w:val="0"/>
        <w:spacing w:before="240" w:after="0"/>
        <w:jc w:val="both"/>
        <w:rPr>
          <w:rFonts w:ascii="Arial" w:hAnsi="Arial"/>
          <w:sz w:val="22"/>
        </w:rPr>
      </w:pPr>
      <w:r>
        <w:rPr>
          <w:rFonts w:ascii="Arial" w:hAnsi="Arial"/>
          <w:b/>
          <w:sz w:val="22"/>
        </w:rPr>
        <w:t>2.22</w:t>
      </w:r>
      <w:r>
        <w:rPr>
          <w:rFonts w:ascii="Arial" w:hAnsi="Arial"/>
          <w:sz w:val="22"/>
        </w:rPr>
        <w:t>  “</w:t>
      </w:r>
      <w:r>
        <w:rPr>
          <w:rFonts w:ascii="Arial" w:hAnsi="Arial"/>
          <w:sz w:val="22"/>
          <w:u w:val="single"/>
        </w:rPr>
        <w:t>Performance Goals</w:t>
      </w:r>
      <w:r>
        <w:rPr>
          <w:rFonts w:ascii="Arial" w:hAnsi="Arial"/>
          <w:sz w:val="22"/>
        </w:rPr>
        <w:t xml:space="preserve">” means one (1) or more (either alone or in combination) performance factors or business criteria (including relative or growth achievement regarding such factors or criteria) which may be established by the Committee pursuant to the Plan with respect to the Company or any one or more of its Subsidiaries or other business units, including but not limited to the following: (i) return on equity (including return on shareholder equity); (ii) earnings (including before taxes, and/or interest and/or depreciation and amortization) or earnings per share (including diluted earnings per share and normalized earnings per share); (iii) Common Stock price (including price per share); (iv) total stockholder return; (v) return on assets (including return on average net assets); (vi) return on investment; (vii) cash flow; (viii) net income or gross income or operating income; (ix) working capital; (x) expense management; (xi) revenue or revenue growth; (xii) sales performance (including net sales); (xiii) cost of sales; (xiv) sales growth (including net sales and core sales); (xv) operating margin; (xvi) internal revenue growth; (xvii) ratio of debt to debt plus equity; (xviii) return on capital; (xix) operating working capital; (xx) accounts receivable; (xxi) inventory management; (xxii) margin (including operating margin and profit margin); (xxiii) customer acquisition; (xxiv) customer retention; or (xxv) economic value. </w:t>
      </w:r>
    </w:p>
    <w:p>
      <w:pPr>
        <w:pStyle w:val="TextBody"/>
        <w:bidi w:val="0"/>
        <w:spacing w:before="240" w:after="0"/>
        <w:jc w:val="both"/>
        <w:rPr>
          <w:rFonts w:ascii="Arial" w:hAnsi="Arial"/>
          <w:sz w:val="22"/>
        </w:rPr>
      </w:pPr>
      <w:r>
        <w:rPr>
          <w:rFonts w:ascii="Arial" w:hAnsi="Arial"/>
          <w:sz w:val="22"/>
        </w:rPr>
        <w:t xml:space="preserve">As to each Performance Goal, the relevant measurement of performance may be computed in accordance with United States generally accepted accounting principles to the extent applicable, but, as determined by the Committee, may in any case exclude the effects of certain items or events, including but not limited to the following: (a) charges or expenses for reorganizing and restructuring; (b) discontinued operations; (c) asset write-downs; (d) gains or losses on the disposition of a business; (e) changes in tax or accounting principles, regulations or laws; (f) mergers, acquisitions or dispositions; (g) retail store closures; (h) business and market exits; (i) foreign currency impacts; (j) restatements and accounting charges; (k) impacts on interest expense, preferred dividends and share dilution as a result of debt and capital transactions; and (l) items of income, expense, gain or loss, or charges, in each case that are unusual in nature and/or infrequent in occurrence. </w:t>
      </w:r>
    </w:p>
    <w:p>
      <w:pPr>
        <w:pStyle w:val="TextBody"/>
        <w:bidi w:val="0"/>
        <w:spacing w:before="240" w:after="0"/>
        <w:jc w:val="both"/>
        <w:rPr>
          <w:rFonts w:ascii="Arial" w:hAnsi="Arial"/>
          <w:sz w:val="22"/>
        </w:rPr>
      </w:pPr>
      <w:r>
        <w:rPr>
          <w:rFonts w:ascii="Arial" w:hAnsi="Arial"/>
          <w:sz w:val="22"/>
        </w:rPr>
        <w:t xml:space="preserve">If the Committee determines that a change in the business, operations, corporate structure or capital structure of the Company, or the manner in which it conducts its business, or other events or circumstances render the Performance Goals unsuitable, the Committee may in its discretion modify such Performance Goals or the targets or actual levels of achievement regarding the Performance Goals in whole or in part, as the Committee deems appropriate and equitable. </w:t>
      </w:r>
    </w:p>
    <w:p>
      <w:pPr>
        <w:pStyle w:val="TextBody"/>
        <w:bidi w:val="0"/>
        <w:spacing w:before="240" w:after="0"/>
        <w:jc w:val="both"/>
        <w:rPr>
          <w:rFonts w:ascii="Arial" w:hAnsi="Arial"/>
          <w:sz w:val="22"/>
        </w:rPr>
      </w:pPr>
      <w:r>
        <w:rPr>
          <w:rFonts w:ascii="Arial" w:hAnsi="Arial"/>
          <w:b/>
          <w:sz w:val="22"/>
        </w:rPr>
        <w:t>2.23</w:t>
      </w:r>
      <w:r>
        <w:rPr>
          <w:rFonts w:ascii="Arial" w:hAnsi="Arial"/>
          <w:sz w:val="22"/>
        </w:rPr>
        <w:t>   “</w:t>
      </w:r>
      <w:r>
        <w:rPr>
          <w:rFonts w:ascii="Arial" w:hAnsi="Arial"/>
          <w:sz w:val="22"/>
          <w:u w:val="single"/>
        </w:rPr>
        <w:t>Plan</w:t>
      </w:r>
      <w:r>
        <w:rPr>
          <w:rFonts w:ascii="Arial" w:hAnsi="Arial"/>
          <w:sz w:val="22"/>
        </w:rPr>
        <w:t xml:space="preserve">” means this Newell Brands Inc. 2026 Incentive Plan, as it may be amended from time to time.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b/>
          <w:sz w:val="22"/>
        </w:rPr>
        <w:t>2.24</w:t>
      </w:r>
      <w:r>
        <w:rPr>
          <w:rFonts w:ascii="Arial" w:hAnsi="Arial"/>
          <w:sz w:val="22"/>
        </w:rPr>
        <w:t>  “</w:t>
      </w:r>
      <w:r>
        <w:rPr>
          <w:rFonts w:ascii="Arial" w:hAnsi="Arial"/>
          <w:sz w:val="22"/>
          <w:u w:val="single"/>
        </w:rPr>
        <w:t>Prior Plans</w:t>
      </w:r>
      <w:r>
        <w:rPr>
          <w:rFonts w:ascii="Arial" w:hAnsi="Arial"/>
          <w:sz w:val="22"/>
        </w:rPr>
        <w:t xml:space="preserve">” means the 2022 Plan and the Newell Rubbermaid Inc. 2013 Incentive Plan, as amended. </w:t>
      </w:r>
    </w:p>
    <w:p>
      <w:pPr>
        <w:pStyle w:val="TextBody"/>
        <w:bidi w:val="0"/>
        <w:spacing w:before="240" w:after="0"/>
        <w:jc w:val="both"/>
        <w:rPr>
          <w:rFonts w:ascii="Arial" w:hAnsi="Arial"/>
          <w:sz w:val="22"/>
        </w:rPr>
      </w:pPr>
      <w:r>
        <w:rPr>
          <w:rFonts w:ascii="Arial" w:hAnsi="Arial"/>
          <w:b/>
          <w:sz w:val="22"/>
        </w:rPr>
        <w:t>2.25</w:t>
      </w:r>
      <w:r>
        <w:rPr>
          <w:rFonts w:ascii="Arial" w:hAnsi="Arial"/>
          <w:sz w:val="22"/>
        </w:rPr>
        <w:t>  “</w:t>
      </w:r>
      <w:r>
        <w:rPr>
          <w:rFonts w:ascii="Arial" w:hAnsi="Arial"/>
          <w:sz w:val="22"/>
          <w:u w:val="single"/>
        </w:rPr>
        <w:t>Proceeding</w:t>
      </w:r>
      <w:r>
        <w:rPr>
          <w:rFonts w:ascii="Arial" w:hAnsi="Arial"/>
          <w:sz w:val="22"/>
        </w:rPr>
        <w:t xml:space="preserve">” has the meaning set forth in Section 19 of the Plan. </w:t>
      </w:r>
    </w:p>
    <w:p>
      <w:pPr>
        <w:pStyle w:val="TextBody"/>
        <w:bidi w:val="0"/>
        <w:spacing w:before="240" w:after="0"/>
        <w:jc w:val="both"/>
        <w:rPr>
          <w:rFonts w:ascii="Arial" w:hAnsi="Arial"/>
          <w:sz w:val="22"/>
        </w:rPr>
      </w:pPr>
      <w:r>
        <w:rPr>
          <w:rFonts w:ascii="Arial" w:hAnsi="Arial"/>
          <w:b/>
          <w:sz w:val="22"/>
        </w:rPr>
        <w:t>2.26</w:t>
      </w:r>
      <w:r>
        <w:rPr>
          <w:rFonts w:ascii="Arial" w:hAnsi="Arial"/>
          <w:sz w:val="22"/>
        </w:rPr>
        <w:t>  “</w:t>
      </w:r>
      <w:r>
        <w:rPr>
          <w:rFonts w:ascii="Arial" w:hAnsi="Arial"/>
          <w:sz w:val="22"/>
          <w:u w:val="single"/>
        </w:rPr>
        <w:t>Section 409A</w:t>
      </w:r>
      <w:r>
        <w:rPr>
          <w:rFonts w:ascii="Arial" w:hAnsi="Arial"/>
          <w:sz w:val="22"/>
        </w:rPr>
        <w:t xml:space="preserve">” means Section 409A of the Code and the regulatory and other guidance issued thereunder by the United States Department of the Treasury and/or Internal Revenue Service. </w:t>
      </w:r>
    </w:p>
    <w:p>
      <w:pPr>
        <w:pStyle w:val="TextBody"/>
        <w:bidi w:val="0"/>
        <w:spacing w:before="240" w:after="0"/>
        <w:jc w:val="both"/>
        <w:rPr>
          <w:rFonts w:ascii="Arial" w:hAnsi="Arial"/>
          <w:sz w:val="22"/>
        </w:rPr>
      </w:pPr>
      <w:r>
        <w:rPr>
          <w:rFonts w:ascii="Arial" w:hAnsi="Arial"/>
          <w:b/>
          <w:sz w:val="22"/>
        </w:rPr>
        <w:t>2.27</w:t>
      </w:r>
      <w:r>
        <w:rPr>
          <w:rFonts w:ascii="Arial" w:hAnsi="Arial"/>
          <w:sz w:val="22"/>
        </w:rPr>
        <w:t>  “</w:t>
      </w:r>
      <w:r>
        <w:rPr>
          <w:rFonts w:ascii="Arial" w:hAnsi="Arial"/>
          <w:sz w:val="22"/>
          <w:u w:val="single"/>
        </w:rPr>
        <w:t>Stock Appreciation Right</w:t>
      </w:r>
      <w:r>
        <w:rPr>
          <w:rFonts w:ascii="Arial" w:hAnsi="Arial"/>
          <w:sz w:val="22"/>
        </w:rPr>
        <w:t>” or “</w:t>
      </w:r>
      <w:r>
        <w:rPr>
          <w:rFonts w:ascii="Arial" w:hAnsi="Arial"/>
          <w:sz w:val="22"/>
          <w:u w:val="single"/>
        </w:rPr>
        <w:t>SAR</w:t>
      </w:r>
      <w:r>
        <w:rPr>
          <w:rFonts w:ascii="Arial" w:hAnsi="Arial"/>
          <w:sz w:val="22"/>
        </w:rPr>
        <w:t xml:space="preserve">” means a right granted under Section 9 of the Plan. </w:t>
      </w:r>
    </w:p>
    <w:p>
      <w:pPr>
        <w:pStyle w:val="TextBody"/>
        <w:bidi w:val="0"/>
        <w:spacing w:before="240" w:after="0"/>
        <w:jc w:val="both"/>
        <w:rPr>
          <w:rFonts w:ascii="Arial" w:hAnsi="Arial"/>
          <w:sz w:val="22"/>
        </w:rPr>
      </w:pPr>
      <w:r>
        <w:rPr>
          <w:rFonts w:ascii="Arial" w:hAnsi="Arial"/>
          <w:b/>
          <w:sz w:val="22"/>
        </w:rPr>
        <w:t>2.28</w:t>
      </w:r>
      <w:r>
        <w:rPr>
          <w:rFonts w:ascii="Arial" w:hAnsi="Arial"/>
          <w:sz w:val="22"/>
        </w:rPr>
        <w:t>  “</w:t>
      </w:r>
      <w:r>
        <w:rPr>
          <w:rFonts w:ascii="Arial" w:hAnsi="Arial"/>
          <w:sz w:val="22"/>
          <w:u w:val="single"/>
        </w:rPr>
        <w:t>Stock Award</w:t>
      </w:r>
      <w:r>
        <w:rPr>
          <w:rFonts w:ascii="Arial" w:hAnsi="Arial"/>
          <w:sz w:val="22"/>
        </w:rPr>
        <w:t xml:space="preserve">” means a grant of shares of Common Stock under Section 7 of the Plan. </w:t>
      </w:r>
    </w:p>
    <w:p>
      <w:pPr>
        <w:pStyle w:val="TextBody"/>
        <w:bidi w:val="0"/>
        <w:spacing w:before="240" w:after="0"/>
        <w:jc w:val="both"/>
        <w:rPr>
          <w:rFonts w:ascii="Arial" w:hAnsi="Arial"/>
          <w:sz w:val="22"/>
        </w:rPr>
      </w:pPr>
      <w:r>
        <w:rPr>
          <w:rFonts w:ascii="Arial" w:hAnsi="Arial"/>
          <w:b/>
          <w:sz w:val="22"/>
        </w:rPr>
        <w:t>2.29</w:t>
      </w:r>
      <w:r>
        <w:rPr>
          <w:rFonts w:ascii="Arial" w:hAnsi="Arial"/>
          <w:sz w:val="22"/>
        </w:rPr>
        <w:t>  “</w:t>
      </w:r>
      <w:r>
        <w:rPr>
          <w:rFonts w:ascii="Arial" w:hAnsi="Arial"/>
          <w:sz w:val="22"/>
          <w:u w:val="single"/>
        </w:rPr>
        <w:t>Stock Option</w:t>
      </w:r>
      <w:r>
        <w:rPr>
          <w:rFonts w:ascii="Arial" w:hAnsi="Arial"/>
          <w:sz w:val="22"/>
        </w:rPr>
        <w:t xml:space="preserve">” means an Incentive Stock Option or a Non-Qualified Stock Option granted under Section 6 of the Plan. </w:t>
      </w:r>
    </w:p>
    <w:p>
      <w:pPr>
        <w:pStyle w:val="TextBody"/>
        <w:bidi w:val="0"/>
        <w:spacing w:before="240" w:after="0"/>
        <w:jc w:val="both"/>
        <w:rPr>
          <w:rFonts w:ascii="Arial" w:hAnsi="Arial"/>
          <w:sz w:val="22"/>
        </w:rPr>
      </w:pPr>
      <w:r>
        <w:rPr>
          <w:rFonts w:ascii="Arial" w:hAnsi="Arial"/>
          <w:b/>
          <w:sz w:val="22"/>
        </w:rPr>
        <w:t>2.30</w:t>
      </w:r>
      <w:r>
        <w:rPr>
          <w:rFonts w:ascii="Arial" w:hAnsi="Arial"/>
          <w:sz w:val="22"/>
        </w:rPr>
        <w:t>  “</w:t>
      </w:r>
      <w:r>
        <w:rPr>
          <w:rFonts w:ascii="Arial" w:hAnsi="Arial"/>
          <w:sz w:val="22"/>
          <w:u w:val="single"/>
        </w:rPr>
        <w:t>Stock Unit</w:t>
      </w:r>
      <w:r>
        <w:rPr>
          <w:rFonts w:ascii="Arial" w:hAnsi="Arial"/>
          <w:sz w:val="22"/>
        </w:rPr>
        <w:t xml:space="preserve">” means a right to receive shares of Common Stock or cash under Section 8 of the Plan. </w:t>
      </w:r>
    </w:p>
    <w:p>
      <w:pPr>
        <w:pStyle w:val="TextBody"/>
        <w:bidi w:val="0"/>
        <w:spacing w:before="240" w:after="0"/>
        <w:jc w:val="both"/>
        <w:rPr>
          <w:rFonts w:ascii="Arial" w:hAnsi="Arial"/>
          <w:sz w:val="22"/>
        </w:rPr>
      </w:pPr>
      <w:r>
        <w:rPr>
          <w:rFonts w:ascii="Arial" w:hAnsi="Arial"/>
          <w:b/>
          <w:sz w:val="22"/>
        </w:rPr>
        <w:t>2.31</w:t>
      </w:r>
      <w:r>
        <w:rPr>
          <w:rFonts w:ascii="Arial" w:hAnsi="Arial"/>
          <w:sz w:val="22"/>
        </w:rPr>
        <w:t>  “</w:t>
      </w:r>
      <w:r>
        <w:rPr>
          <w:rFonts w:ascii="Arial" w:hAnsi="Arial"/>
          <w:sz w:val="22"/>
          <w:u w:val="single"/>
        </w:rPr>
        <w:t>Subsidiary</w:t>
      </w:r>
      <w:r>
        <w:rPr>
          <w:rFonts w:ascii="Arial" w:hAnsi="Arial"/>
          <w:sz w:val="22"/>
        </w:rPr>
        <w:t xml:space="preserve">” means an entity of which the Company is the direct or indirect (in an unbroken chain of entities beginning with the Company) beneficial owner of not less than fifty percent (50%) of all issued and outstanding equity interests of such entity, including entities acquired after the Effective Date. </w:t>
      </w:r>
    </w:p>
    <w:p>
      <w:pPr>
        <w:pStyle w:val="TextBody"/>
        <w:bidi w:val="0"/>
        <w:spacing w:before="240" w:after="0"/>
        <w:jc w:val="both"/>
        <w:rPr>
          <w:rFonts w:ascii="Arial" w:hAnsi="Arial"/>
          <w:sz w:val="22"/>
        </w:rPr>
      </w:pPr>
      <w:r>
        <w:rPr>
          <w:rFonts w:ascii="Arial" w:hAnsi="Arial"/>
          <w:b/>
          <w:sz w:val="22"/>
        </w:rPr>
        <w:t>2.32</w:t>
      </w:r>
      <w:r>
        <w:rPr>
          <w:rFonts w:ascii="Arial" w:hAnsi="Arial"/>
          <w:sz w:val="22"/>
        </w:rPr>
        <w:t>  “</w:t>
      </w:r>
      <w:r>
        <w:rPr>
          <w:rFonts w:ascii="Arial" w:hAnsi="Arial"/>
          <w:sz w:val="22"/>
          <w:u w:val="single"/>
        </w:rPr>
        <w:t>Substitute Awards</w:t>
      </w:r>
      <w:r>
        <w:rPr>
          <w:rFonts w:ascii="Arial" w:hAnsi="Arial"/>
          <w:sz w:val="22"/>
        </w:rPr>
        <w:t xml:space="preserve">” means shares of Common Stock subject to Awards granted in assumption, substitution or exchange for previously granted stock-based awards under a stockholder-approved plan of a company acquired by the Company. </w:t>
      </w:r>
    </w:p>
    <w:p>
      <w:pPr>
        <w:pStyle w:val="TextBody"/>
        <w:bidi w:val="0"/>
        <w:spacing w:before="240" w:after="0"/>
        <w:jc w:val="both"/>
        <w:rPr>
          <w:rFonts w:ascii="Arial" w:hAnsi="Arial"/>
          <w:b/>
          <w:sz w:val="22"/>
        </w:rPr>
      </w:pPr>
      <w:r>
        <w:rPr>
          <w:rFonts w:ascii="Arial" w:hAnsi="Arial"/>
          <w:b/>
          <w:sz w:val="22"/>
        </w:rPr>
        <w:t xml:space="preserve">Section 3. Administration. </w:t>
      </w:r>
    </w:p>
    <w:p>
      <w:pPr>
        <w:pStyle w:val="TextBody"/>
        <w:bidi w:val="0"/>
        <w:spacing w:before="240" w:after="0"/>
        <w:jc w:val="both"/>
        <w:rPr>
          <w:rFonts w:ascii="Arial" w:hAnsi="Arial"/>
          <w:sz w:val="22"/>
        </w:rPr>
      </w:pPr>
      <w:r>
        <w:rPr>
          <w:rFonts w:ascii="Arial" w:hAnsi="Arial"/>
          <w:b/>
          <w:sz w:val="22"/>
        </w:rPr>
        <w:t>3.1</w:t>
      </w:r>
      <w:r>
        <w:rPr>
          <w:rFonts w:ascii="Arial" w:hAnsi="Arial"/>
          <w:sz w:val="22"/>
        </w:rPr>
        <w:t xml:space="preserve">  The Plan shall be administered by the Committee, provided, however, that at the discretion of the Board, the Plan may be administered by the Board, including with respect to the administration of any responsibilities and duties held by the Committee hereunder. The Committee may, in its discretion, delegate all or a portion of its duties and responsibilities to a subcommittee of the Committee. In particular, the Committee may delegate the approval of certain matters to a subcommittee consisting solely of at least two members of the Committee who are “non-employee directors” for the purposes of Rule 16b-3 of the Exchange Act. For purposes of the Plan, the term “Committee” shall refer to the Committee or, (a) to the extent such authority has been delegated to a subcommittee, such subcommittee or (b) to the extent that the Board has exercised its discretion to administer the Plan hereunder, the Board. </w:t>
      </w:r>
    </w:p>
    <w:p>
      <w:pPr>
        <w:pStyle w:val="TextBody"/>
        <w:bidi w:val="0"/>
        <w:spacing w:before="240" w:after="0"/>
        <w:jc w:val="both"/>
        <w:rPr>
          <w:rFonts w:ascii="Arial" w:hAnsi="Arial"/>
          <w:sz w:val="22"/>
        </w:rPr>
      </w:pPr>
      <w:r>
        <w:rPr>
          <w:rFonts w:ascii="Arial" w:hAnsi="Arial"/>
          <w:b/>
          <w:sz w:val="22"/>
        </w:rPr>
        <w:t>3.2</w:t>
      </w:r>
      <w:r>
        <w:rPr>
          <w:rFonts w:ascii="Arial" w:hAnsi="Arial"/>
          <w:sz w:val="22"/>
        </w:rPr>
        <w:t xml:space="preserve">  The Committee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The interpretation and construction by the Committee of any provision of the Plan or of any Award Agreements (or related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documents) and any determination by the Committee pursuant to any provision of the Plan or of any such agreement, notification or document will be final and conclusive. No member of the Committee or of the Board shall be liable for any such action or determination made in good faith. In addition, the Committee is authorized to take any action it determines in its sole discretion to be appropriate subject only to the express limitations contained in the Plan, and no authorization in any Plan section or other provision of the Plan is intended or may be deemed to constitute a limitation on the authority of the Committee. </w:t>
      </w:r>
    </w:p>
    <w:p>
      <w:pPr>
        <w:pStyle w:val="TextBody"/>
        <w:bidi w:val="0"/>
        <w:spacing w:before="240" w:after="0"/>
        <w:jc w:val="both"/>
        <w:rPr>
          <w:rFonts w:ascii="Arial" w:hAnsi="Arial"/>
          <w:sz w:val="22"/>
        </w:rPr>
      </w:pPr>
      <w:r>
        <w:rPr>
          <w:rFonts w:ascii="Arial" w:hAnsi="Arial"/>
          <w:b/>
          <w:sz w:val="22"/>
        </w:rPr>
        <w:t>3.3</w:t>
      </w:r>
      <w:r>
        <w:rPr>
          <w:rFonts w:ascii="Arial" w:hAnsi="Arial"/>
          <w:sz w:val="22"/>
        </w:rPr>
        <w:t xml:space="preserve">  To the extent permitted by law, the Committee may delegate to one or more of its members or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the Plan. The Committee may, by resolution, authorize one or more officers of the Company to do one or both of the following on the same basis as the Committee: (a) designate employees to be recipients of awards under the Plan; and (b) determine the size of any such awards; </w:t>
      </w:r>
      <w:r>
        <w:rPr>
          <w:rFonts w:ascii="Arial" w:hAnsi="Arial"/>
          <w:sz w:val="22"/>
          <w:u w:val="single"/>
        </w:rPr>
        <w:t>provided</w:t>
      </w:r>
      <w:r>
        <w:rPr>
          <w:rFonts w:ascii="Arial" w:hAnsi="Arial"/>
          <w:sz w:val="22"/>
        </w:rPr>
        <w:t xml:space="preserve">, </w:t>
      </w:r>
      <w:r>
        <w:rPr>
          <w:rFonts w:ascii="Arial" w:hAnsi="Arial"/>
          <w:sz w:val="22"/>
          <w:u w:val="single"/>
        </w:rPr>
        <w:t>however</w:t>
      </w:r>
      <w:r>
        <w:rPr>
          <w:rFonts w:ascii="Arial" w:hAnsi="Arial"/>
          <w:sz w:val="22"/>
        </w:rPr>
        <w:t xml:space="preserve">, that (i) the Committee will not delegate such responsibilities to any such officer for awards granted to an employee who is an officer, Director, or more than 10% “beneficial owner” (as defined in Section 12.2 below) of any class of the Company’s equity securities that is registered pursuant to Section 12 of the Exchange Act, in each case, as determined by the Committee in accordance with Section 16 of the Exchange Act; and (ii) the resolution providing for such authorization sets forth the total number of shares of Common Stock such officer(s) may grant. </w:t>
      </w:r>
    </w:p>
    <w:p>
      <w:pPr>
        <w:pStyle w:val="TextBody"/>
        <w:bidi w:val="0"/>
        <w:spacing w:before="240" w:after="0"/>
        <w:jc w:val="both"/>
        <w:rPr>
          <w:rFonts w:ascii="Arial" w:hAnsi="Arial"/>
          <w:b/>
          <w:sz w:val="22"/>
        </w:rPr>
      </w:pPr>
      <w:r>
        <w:rPr>
          <w:rFonts w:ascii="Arial" w:hAnsi="Arial"/>
          <w:b/>
          <w:sz w:val="22"/>
        </w:rPr>
        <w:t xml:space="preserve">Section 4. Eligibility and Awards. </w:t>
      </w:r>
    </w:p>
    <w:p>
      <w:pPr>
        <w:pStyle w:val="TextBody"/>
        <w:bidi w:val="0"/>
        <w:spacing w:before="240" w:after="0"/>
        <w:jc w:val="both"/>
        <w:rPr>
          <w:rFonts w:ascii="Arial" w:hAnsi="Arial"/>
          <w:sz w:val="22"/>
        </w:rPr>
      </w:pPr>
      <w:r>
        <w:rPr>
          <w:rFonts w:ascii="Arial" w:hAnsi="Arial"/>
          <w:b/>
          <w:sz w:val="22"/>
        </w:rPr>
        <w:t>4.1</w:t>
      </w:r>
      <w:r>
        <w:rPr>
          <w:rFonts w:ascii="Arial" w:hAnsi="Arial"/>
          <w:sz w:val="22"/>
        </w:rPr>
        <w:t>  </w:t>
      </w:r>
      <w:r>
        <w:rPr>
          <w:rFonts w:ascii="Arial" w:hAnsi="Arial"/>
          <w:sz w:val="22"/>
          <w:u w:val="single"/>
        </w:rPr>
        <w:t>Participants</w:t>
      </w:r>
      <w:r>
        <w:rPr>
          <w:rFonts w:ascii="Arial" w:hAnsi="Arial"/>
          <w:sz w:val="22"/>
        </w:rPr>
        <w:t xml:space="preserve">. Participants shall consist of all Non-Employee Directors and the Employees whom the Committee may designate from time to time to receive Awards under the Plan; provided, however, that Awards of Incentive Stock Options may only be made to an Employee who is considered an employee of the Company or any Subsidiary for purposes of United States Treasury Regulation Section 1.421-1(h) or any successor provision related thereto. </w:t>
      </w:r>
    </w:p>
    <w:p>
      <w:pPr>
        <w:pStyle w:val="TextBody"/>
        <w:bidi w:val="0"/>
        <w:spacing w:before="240" w:after="0"/>
        <w:jc w:val="both"/>
        <w:rPr>
          <w:rFonts w:ascii="Arial" w:hAnsi="Arial"/>
          <w:sz w:val="22"/>
        </w:rPr>
      </w:pPr>
      <w:r>
        <w:rPr>
          <w:rFonts w:ascii="Arial" w:hAnsi="Arial"/>
          <w:b/>
          <w:sz w:val="22"/>
        </w:rPr>
        <w:t>4.2</w:t>
      </w:r>
      <w:r>
        <w:rPr>
          <w:rFonts w:ascii="Arial" w:hAnsi="Arial"/>
          <w:sz w:val="22"/>
        </w:rPr>
        <w:t>  </w:t>
      </w:r>
      <w:r>
        <w:rPr>
          <w:rFonts w:ascii="Arial" w:hAnsi="Arial"/>
          <w:sz w:val="22"/>
          <w:u w:val="single"/>
        </w:rPr>
        <w:t>Awards</w:t>
      </w:r>
      <w:r>
        <w:rPr>
          <w:rFonts w:ascii="Arial" w:hAnsi="Arial"/>
          <w:sz w:val="22"/>
        </w:rPr>
        <w:t xml:space="preserve">. Subject to the terms of the Plan, any type of Awards may be granted to any Participant, but only Employees may receive Awards of Incentive Stock Options. Awards may be granted alone, or in addition to, in tandem with, or (subject to the prohibition on repricing set forth in Section 17.3) in substitution or any other Award (or any other award granted under another plan of the Company or any Subsidiary, including the plan of an acquired entity). </w:t>
      </w:r>
    </w:p>
    <w:p>
      <w:pPr>
        <w:pStyle w:val="TextBody"/>
        <w:bidi w:val="0"/>
        <w:spacing w:before="240" w:after="0"/>
        <w:jc w:val="both"/>
        <w:rPr>
          <w:rFonts w:ascii="Arial" w:hAnsi="Arial"/>
          <w:sz w:val="22"/>
        </w:rPr>
      </w:pPr>
      <w:r>
        <w:rPr>
          <w:rFonts w:ascii="Arial" w:hAnsi="Arial"/>
          <w:b/>
          <w:sz w:val="22"/>
        </w:rPr>
        <w:t>4.3</w:t>
      </w:r>
      <w:r>
        <w:rPr>
          <w:rFonts w:ascii="Arial" w:hAnsi="Arial"/>
          <w:sz w:val="22"/>
        </w:rPr>
        <w:t>  </w:t>
      </w:r>
      <w:r>
        <w:rPr>
          <w:rFonts w:ascii="Arial" w:hAnsi="Arial"/>
          <w:sz w:val="22"/>
          <w:u w:val="single"/>
        </w:rPr>
        <w:t>Award Agreements</w:t>
      </w:r>
      <w:r>
        <w:rPr>
          <w:rFonts w:ascii="Arial" w:hAnsi="Arial"/>
          <w:sz w:val="22"/>
        </w:rPr>
        <w:t xml:space="preserve">. Each Award shall be evidenced by an Award Agreement specifying the terms and conditions of the Award. In the sole discretion of the Committee, the Award Agreement may condition the grant of an Award upon the Participant’s entering into one or more of the following agreements with the Company: (a) an agreement not to compete with, or solicit the customers or employees of, the Company and its Subsidiaries which shall become effective as of the date of the grant of the Award and remain in effect for a specified period of time following termination of the Participant’s employment with the Company; (b) an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agreement to cancel any employment agreement, fringe benefit or compensation arrangement in effect between the Company and the Participant; and (c) an agreement to retain the confidentiality of certain information. Such Award Agreement or other agreement may contain such other terms and conditions as the Committee shall determine, including provisions for the Participant’s forfeiture of an Award or the return of vested shares of Common Stock received in connection with an Award in the event of the Participant’s noncompliance with the provisions of, or as otherwise provided in, such Award Agreement or other agreement. If the Participant shall fail to enter into any such agreement at the request of the Committee and within any period specified by the Committee, then the Award granted or to be granted to such Participant shall be forfeited and cancelled. The applicable Award Agreement shall specify the termination provisions of an Award upon a Participant’s termination of employment or service with the Company and its Subsidiaries. </w:t>
      </w:r>
    </w:p>
    <w:p>
      <w:pPr>
        <w:pStyle w:val="TextBody"/>
        <w:bidi w:val="0"/>
        <w:spacing w:before="240" w:after="0"/>
        <w:jc w:val="both"/>
        <w:rPr>
          <w:rFonts w:ascii="Arial" w:hAnsi="Arial"/>
          <w:sz w:val="22"/>
        </w:rPr>
      </w:pPr>
      <w:r>
        <w:rPr>
          <w:rFonts w:ascii="Arial" w:hAnsi="Arial"/>
          <w:b/>
          <w:sz w:val="22"/>
        </w:rPr>
        <w:t>4.4</w:t>
      </w:r>
      <w:r>
        <w:rPr>
          <w:rFonts w:ascii="Arial" w:hAnsi="Arial"/>
          <w:sz w:val="22"/>
        </w:rPr>
        <w:t>  </w:t>
      </w:r>
      <w:r>
        <w:rPr>
          <w:rFonts w:ascii="Arial" w:hAnsi="Arial"/>
          <w:sz w:val="22"/>
          <w:u w:val="single"/>
        </w:rPr>
        <w:t>Dividends and Distributions</w:t>
      </w:r>
      <w:r>
        <w:rPr>
          <w:rFonts w:ascii="Arial" w:hAnsi="Arial"/>
          <w:sz w:val="22"/>
        </w:rPr>
        <w:t xml:space="preserve">. For the avoidance of doubt, in the case of any Award under the Plan that provides for the right to receive dividends or distributions, such dividends or distributions shall be accumulated and held, and such accumulated amounts shall be paid to the applicable Participant only upon the vesting or lapse of the restrictions on such Award. Any dividends or distributions attributable to an Award (or a portion thereof) that does not vest or with respect to which the restrictions do not lapse shall be forfeited. </w:t>
      </w:r>
    </w:p>
    <w:p>
      <w:pPr>
        <w:pStyle w:val="TextBody"/>
        <w:bidi w:val="0"/>
        <w:spacing w:before="240" w:after="0"/>
        <w:jc w:val="both"/>
        <w:rPr>
          <w:rFonts w:ascii="Arial" w:hAnsi="Arial"/>
          <w:b/>
          <w:sz w:val="22"/>
        </w:rPr>
      </w:pPr>
      <w:r>
        <w:rPr>
          <w:rFonts w:ascii="Arial" w:hAnsi="Arial"/>
          <w:b/>
          <w:sz w:val="22"/>
        </w:rPr>
        <w:t xml:space="preserve">Section 5. Shares of Common Stock Subject to Plan. </w:t>
      </w:r>
    </w:p>
    <w:p>
      <w:pPr>
        <w:pStyle w:val="TextBody"/>
        <w:bidi w:val="0"/>
        <w:spacing w:before="240" w:after="0"/>
        <w:jc w:val="both"/>
        <w:rPr>
          <w:rFonts w:ascii="Arial" w:hAnsi="Arial"/>
          <w:sz w:val="22"/>
        </w:rPr>
      </w:pPr>
      <w:r>
        <w:rPr>
          <w:rFonts w:ascii="Arial" w:hAnsi="Arial"/>
          <w:b/>
          <w:sz w:val="22"/>
        </w:rPr>
        <w:t>5.1</w:t>
      </w:r>
      <w:r>
        <w:rPr>
          <w:rFonts w:ascii="Arial" w:hAnsi="Arial"/>
          <w:sz w:val="22"/>
        </w:rPr>
        <w:t>  </w:t>
      </w:r>
      <w:r>
        <w:rPr>
          <w:rFonts w:ascii="Arial" w:hAnsi="Arial"/>
          <w:sz w:val="22"/>
          <w:u w:val="single"/>
        </w:rPr>
        <w:t>Total Number of Shares</w:t>
      </w:r>
      <w:r>
        <w:rPr>
          <w:rFonts w:ascii="Arial" w:hAnsi="Arial"/>
          <w:sz w:val="22"/>
        </w:rPr>
        <w:t xml:space="preserve">.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  Subject to adjustment as provided in Section 11 of the Plan and the share counting rules in this Section 5.1, the total number of shares of Common Stock that may be subject to Awards granted under the Plan shall be (x) 19,250,000 shares of Common Stock, minus (y) as of the Effective Date, one share of Common Stock for every share subject to an award granted under the 2022 Plan after March 5, 2026 but prior to the Effective Date, plus (z) shares of Common Stock that are subject to awards granted under the Plan or the Prior Plans that are added (or added back, as applicable) to the aggregate shares available for grant under this Section 5.1(a) pursuant to the share counting rules of the Plan.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The number of shares of Common Stock available for grant under the Plan shall be reduced by 1 share for each share subject to an Award granted under this Plan. Shares of Common Stock subject to Awards granted under the Plan may be either authorized but unissued shares or treasury shares, and shall be adjusted in accordance with the provisions of Section 11 of the Plan. Substitute Awards do not reduce the shares of Common Stock available for Awards under the Plan; and available shares under a stockholder-approved plan of a company acquired by the Company (as appropriately adjusted to reflect the acquisition transaction) may be used for Awards under the Plan without reducing the Plan’s share reserve (subject to applicable Nasdaq Global Select Market listing requirements), and there shall be no add-backs with respect to such Awards.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  The number of shares of Common Stock (i) delivered by a Participant or withheld by the Company on behalf of any Participant as full or partial payment of an Award, including the exercise price of a Stock Option and any required withholding taxes relating to the exercise of a Stock Option or SAR and (ii) delivered by a Participant or withheld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by the Company on behalf of a Participant as full or partial payment of any required withholding taxes for any type of Award shall not again be available for subsequent Awards, and shall count towards the aggregate number of shares of Common Stock that may be subject to Awards under the Plan. If and to the extent any shares of Common Stock subject to an Award lapse, are forfeited, expire, terminate or are cancelled for any reason (including for reasons described in Section 4.3) or such Award is settled in cash, then such shares of Common Stock subject to such Award or reacquired by the Company shall again be available for subsequent Awards, and shall not count towards the aggregate number of shares of Common Stock that may be subject to Awards under the Plan. If, under the Plan, a Participant has elected to give up the right to receive cash compensation in exchange for shares of Common Stock based on fair market value, such shares of Common Stock will not count towards the aggregate number of shares of Common Stock that may be subject to Awards under the Plan. Any shares of Common Stock subject to a share-settled SAR that are not actually issued in connection with the settlement of such SAR on the exercise thereof shall count towards the aggregate number of shares of Common Stock that may be subject to Awards under the Plan and shall not be added to the aggregate number of shares of Common Stock that may be subject to Awards under the Plan. If shares of Common Stock are reacquired by the Company on the open market or otherwise using cash proceeds from the exercise of Stock Options, such shares shall not be added to the aggregate number of shares of Common Stock that may be subject to Awards under the Plan. If an Award provides that, upon vesting, it shall be settled only in cash (or otherwise settled without the issuance of shares of Common Stock), no shares of Common Stock shall be deducted from the aggregate number of shares of Common Stock under the Plan with respect to such Award. </w:t>
      </w:r>
    </w:p>
    <w:p>
      <w:pPr>
        <w:pStyle w:val="TextBody"/>
        <w:bidi w:val="0"/>
        <w:spacing w:before="240" w:after="0"/>
        <w:jc w:val="both"/>
        <w:rPr>
          <w:rFonts w:ascii="Arial" w:hAnsi="Arial"/>
          <w:sz w:val="22"/>
        </w:rPr>
      </w:pPr>
      <w:r>
        <w:rPr>
          <w:rFonts w:ascii="Arial" w:hAnsi="Arial"/>
          <w:b/>
          <w:sz w:val="22"/>
        </w:rPr>
        <w:t>(d)</w:t>
      </w:r>
      <w:r>
        <w:rPr>
          <w:rFonts w:ascii="Arial" w:hAnsi="Arial"/>
          <w:sz w:val="22"/>
        </w:rPr>
        <w:t xml:space="preserve">  If after March 5, 2026, any shares of Common Stock subject to Prior Plan awards lapse, are forfeited, expire, terminate or are cancelled for any reason or such Prior Plan awards are settled in cash, then such shares of Common Stock subject to such Prior Plan award will be available for the granting of Awards under the Plan and shall not count towards the aggregate number of shares of Common Stock that may be subject to Awards under the Plan (with the number of shares of Common Stock again available for Awards increasing by 1 for each such share). Any shares of Common Stock (x) subject to share-settled stock appreciation rights under a Prior Plan that are not actually issued in connection with the settlement of such stock appreciation right on the exercise thereof and (y) delivered by a Participant or withheld by the Company on behalf of any such Participant as full or partial payment of an award under a Prior Plan, including the exercise price of a stock option under a Prior Plan and any required withholding taxes relating to an award under a Prior Plan, shall not be added to the aggregate number of shares of Common Stock that may be subject to Awards under the Plan. </w:t>
      </w:r>
    </w:p>
    <w:p>
      <w:pPr>
        <w:pStyle w:val="TextBody"/>
        <w:bidi w:val="0"/>
        <w:spacing w:before="240" w:after="0"/>
        <w:jc w:val="both"/>
        <w:rPr>
          <w:rFonts w:ascii="Arial" w:hAnsi="Arial"/>
          <w:sz w:val="22"/>
        </w:rPr>
      </w:pPr>
      <w:r>
        <w:rPr>
          <w:rFonts w:ascii="Arial" w:hAnsi="Arial"/>
          <w:b/>
          <w:sz w:val="22"/>
        </w:rPr>
        <w:t>5.2</w:t>
      </w:r>
      <w:r>
        <w:rPr>
          <w:rFonts w:ascii="Arial" w:hAnsi="Arial"/>
          <w:sz w:val="22"/>
        </w:rPr>
        <w:t>  </w:t>
      </w:r>
      <w:r>
        <w:rPr>
          <w:rFonts w:ascii="Arial" w:hAnsi="Arial"/>
          <w:sz w:val="22"/>
          <w:u w:val="single"/>
        </w:rPr>
        <w:t>Limitations</w:t>
      </w:r>
      <w:r>
        <w:rPr>
          <w:rFonts w:ascii="Arial" w:hAnsi="Arial"/>
          <w:sz w:val="22"/>
        </w:rPr>
        <w:t xml:space="preserve">.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  Of the total shares of Common Stock authorized for issuance under the Plan pursuant to Section 5.1, the maximum number of shares of Common Stock under the Plan that may be subject to Incentive Stock Options is 19,250,000.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  Notwithstanding anything to the contrary contained in the Plan, in no event will the value of any Awards granted to any Non-Employee Director in any one calendar </w:t>
      </w:r>
    </w:p>
    <w:p>
      <w:pPr>
        <w:pStyle w:val="TextBody"/>
        <w:bidi w:val="0"/>
        <w:spacing w:before="0" w:after="0"/>
        <w:jc w:val="both"/>
        <w:rPr>
          <w:rFonts w:ascii="Arial" w:hAnsi="Arial"/>
          <w:sz w:val="22"/>
        </w:rPr>
      </w:pPr>
      <w:r>
        <w:rPr>
          <w:rFonts w:ascii="Arial" w:hAnsi="Arial"/>
          <w:sz w:val="22"/>
        </w:rPr>
        <w:t xml:space="preserve">year for such service, when added to any cash fees payable to such Non-Employee Director for such service in such calendar year, have an aggregate maximum value (computed as of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the date of grant in accordance with applicable financial accounting rules) in excess of $1,000,000 (or, for a non-executive chair of the Board, $2,000,000). </w:t>
      </w:r>
    </w:p>
    <w:p>
      <w:pPr>
        <w:pStyle w:val="TextBody"/>
        <w:bidi w:val="0"/>
        <w:spacing w:before="240" w:after="0"/>
        <w:jc w:val="both"/>
        <w:rPr>
          <w:rFonts w:ascii="Arial" w:hAnsi="Arial"/>
          <w:sz w:val="22"/>
        </w:rPr>
      </w:pPr>
      <w:r>
        <w:rPr>
          <w:rFonts w:ascii="Arial" w:hAnsi="Arial"/>
          <w:b/>
          <w:sz w:val="22"/>
        </w:rPr>
        <w:t>5.3</w:t>
      </w:r>
      <w:r>
        <w:rPr>
          <w:rFonts w:ascii="Arial" w:hAnsi="Arial"/>
          <w:sz w:val="22"/>
        </w:rPr>
        <w:t>  </w:t>
      </w:r>
      <w:r>
        <w:rPr>
          <w:rFonts w:ascii="Arial" w:hAnsi="Arial"/>
          <w:sz w:val="22"/>
          <w:u w:val="single"/>
        </w:rPr>
        <w:t>Minimum Vesting Requirements</w:t>
      </w:r>
      <w:r>
        <w:rPr>
          <w:rFonts w:ascii="Arial" w:hAnsi="Arial"/>
          <w:sz w:val="22"/>
        </w:rPr>
        <w:t xml:space="preserve">. Notwithstanding any other provision of the Plan to the contrary, Awards granted under the Plan (other than cash-based awards) shall vest no earlier than the first anniversary of the applicable date of grant, provided that the following awards shall not be subject to the foregoing minimum vesting requirement: any (a) awards to Non-Employee Directors that vest on the earlier of the one-year anniversary of the applicable date of grant and the next annual meeting of the Company’s stockholders, which is at least 50 weeks after the immediately preceding year’s annual meeting of the Company’s stockholders; (b) shares of Common Stock delivered in lieu of currently payable cash obligations; (c) any additional awards the Committee may grant, up to a maximum of 5% of the available share reserve authorized for issuance under the Plan pursuant to Section 5.1 (subject to adjustment under Section 11); and (d) Substitute Awards. Nothing in this Section 5.3 or otherwise in the Plan, however, shall preclude the Committee, in its sole discretion, from (x) providing for continued vesting or accelerated vesting for any award under the Plan upon certain events, including in connection with or following a Participant’s retirement, death, disability, or termination of service, or in the event of a Change in Control or (y) exercising its authority under Section 17.2 at any time following the grant of an award. </w:t>
      </w:r>
    </w:p>
    <w:p>
      <w:pPr>
        <w:pStyle w:val="TextBody"/>
        <w:bidi w:val="0"/>
        <w:spacing w:before="240" w:after="0"/>
        <w:jc w:val="both"/>
        <w:rPr>
          <w:rFonts w:ascii="Arial" w:hAnsi="Arial"/>
          <w:b/>
          <w:sz w:val="22"/>
        </w:rPr>
      </w:pPr>
      <w:r>
        <w:rPr>
          <w:rFonts w:ascii="Arial" w:hAnsi="Arial"/>
          <w:b/>
          <w:sz w:val="22"/>
        </w:rPr>
        <w:t xml:space="preserve">Section 6. Stock Options. </w:t>
      </w:r>
    </w:p>
    <w:p>
      <w:pPr>
        <w:pStyle w:val="TextBody"/>
        <w:bidi w:val="0"/>
        <w:spacing w:before="240" w:after="0"/>
        <w:jc w:val="both"/>
        <w:rPr>
          <w:rFonts w:ascii="Arial" w:hAnsi="Arial"/>
          <w:sz w:val="22"/>
        </w:rPr>
      </w:pPr>
      <w:r>
        <w:rPr>
          <w:rFonts w:ascii="Arial" w:hAnsi="Arial"/>
          <w:b/>
          <w:sz w:val="22"/>
        </w:rPr>
        <w:t>6.1</w:t>
      </w:r>
      <w:r>
        <w:rPr>
          <w:rFonts w:ascii="Arial" w:hAnsi="Arial"/>
          <w:sz w:val="22"/>
        </w:rPr>
        <w:t>  </w:t>
      </w:r>
      <w:r>
        <w:rPr>
          <w:rFonts w:ascii="Arial" w:hAnsi="Arial"/>
          <w:sz w:val="22"/>
          <w:u w:val="single"/>
        </w:rPr>
        <w:t>Grant</w:t>
      </w:r>
      <w:r>
        <w:rPr>
          <w:rFonts w:ascii="Arial" w:hAnsi="Arial"/>
          <w:sz w:val="22"/>
        </w:rPr>
        <w:t xml:space="preserve">. Subject to the terms of the Plan, the Committee may from time to time grant Stock Options to Participants. Stock Options granted under the Plan to Non-Employee Directors shall be NQSOs. Unless otherwise expressly provided at the time of the grant, Stock Options granted under the Plan to Employees shall be NQSOs. </w:t>
      </w:r>
    </w:p>
    <w:p>
      <w:pPr>
        <w:pStyle w:val="TextBody"/>
        <w:bidi w:val="0"/>
        <w:spacing w:before="240" w:after="0"/>
        <w:jc w:val="both"/>
        <w:rPr>
          <w:rFonts w:ascii="Arial" w:hAnsi="Arial"/>
          <w:sz w:val="22"/>
        </w:rPr>
      </w:pPr>
      <w:r>
        <w:rPr>
          <w:rFonts w:ascii="Arial" w:hAnsi="Arial"/>
          <w:b/>
          <w:sz w:val="22"/>
        </w:rPr>
        <w:t>6.2</w:t>
      </w:r>
      <w:r>
        <w:rPr>
          <w:rFonts w:ascii="Arial" w:hAnsi="Arial"/>
          <w:sz w:val="22"/>
        </w:rPr>
        <w:t>  </w:t>
      </w:r>
      <w:r>
        <w:rPr>
          <w:rFonts w:ascii="Arial" w:hAnsi="Arial"/>
          <w:sz w:val="22"/>
          <w:u w:val="single"/>
        </w:rPr>
        <w:t>Stock Option Agreement</w:t>
      </w:r>
      <w:r>
        <w:rPr>
          <w:rFonts w:ascii="Arial" w:hAnsi="Arial"/>
          <w:sz w:val="22"/>
        </w:rPr>
        <w:t xml:space="preserve">. The grant of each Stock Option shall be evidenced by a written Stock Option Agreement specifying the type of Stock Option granted, the exercise period, the exercise price, the terms for payment of the exercise price, the expiration date of the Stock Option, the number of shares of Common Stock to be subject to each Stock Option, how the Stock Option will be exercised, and such other terms and conditions (which may include the attainment of Performance Goals) established by the Committee, in its sole discretion, not inconsistent with the Plan. With respect to a Stock Option, in no event shall a Participant be entitled to amounts equivalent to cash dividends, stock dividends or other property dividends on the shares of Common Stock subject to the Stock Option. </w:t>
      </w:r>
    </w:p>
    <w:p>
      <w:pPr>
        <w:pStyle w:val="TextBody"/>
        <w:bidi w:val="0"/>
        <w:spacing w:before="240" w:after="0"/>
        <w:jc w:val="both"/>
        <w:rPr>
          <w:rFonts w:ascii="Arial" w:hAnsi="Arial"/>
          <w:sz w:val="22"/>
        </w:rPr>
      </w:pPr>
      <w:r>
        <w:rPr>
          <w:rFonts w:ascii="Arial" w:hAnsi="Arial"/>
          <w:b/>
          <w:sz w:val="22"/>
        </w:rPr>
        <w:t>6.3</w:t>
      </w:r>
      <w:r>
        <w:rPr>
          <w:rFonts w:ascii="Arial" w:hAnsi="Arial"/>
          <w:sz w:val="22"/>
        </w:rPr>
        <w:t>  </w:t>
      </w:r>
      <w:r>
        <w:rPr>
          <w:rFonts w:ascii="Arial" w:hAnsi="Arial"/>
          <w:sz w:val="22"/>
          <w:u w:val="single"/>
        </w:rPr>
        <w:t>Exercise Price and Period</w:t>
      </w:r>
      <w:r>
        <w:rPr>
          <w:rFonts w:ascii="Arial" w:hAnsi="Arial"/>
          <w:sz w:val="22"/>
        </w:rPr>
        <w:t xml:space="preserve">. With respect to each Stock Option granted to a Participant: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  Except as provided in Section 6.4(b), Section 17.3, or in the case of Substitute Awards, the per share exercise price of each Stock Option shall be one hundred percent (100%) of the Fair Market Value of the Common Stock subject to the Stock Option on the date on which the Stock Option is granted.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  Each Stock Option shall become exercisable as set forth in the Stock Option Agreement. Stock Options may provide for the continued vesting or the earlier vesting of such Stock Options, including in the event of the retirement, death, disability or termination of service of a Participant, or in the event of a Change in Control.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b/>
          <w:sz w:val="22"/>
        </w:rPr>
        <w:t>(c)</w:t>
      </w:r>
      <w:r>
        <w:rPr>
          <w:rFonts w:ascii="Arial" w:hAnsi="Arial"/>
          <w:sz w:val="22"/>
        </w:rPr>
        <w:t xml:space="preserve">  No grant of a Stock Option shall include a “reload” Stock Option pursuant to which a Participant who exercises a Stock Option and satisfies all or a portion of the exercise price with Shares of Common Stock acquired upon exercise of the Stock Option is granted an additional Stock Option to acquire the same number of Shares as is used by the Participant to pay such exercise price. </w:t>
      </w:r>
    </w:p>
    <w:p>
      <w:pPr>
        <w:pStyle w:val="TextBody"/>
        <w:bidi w:val="0"/>
        <w:spacing w:before="240" w:after="0"/>
        <w:jc w:val="both"/>
        <w:rPr>
          <w:rFonts w:ascii="Arial" w:hAnsi="Arial"/>
          <w:sz w:val="22"/>
        </w:rPr>
      </w:pPr>
      <w:r>
        <w:rPr>
          <w:rFonts w:ascii="Arial" w:hAnsi="Arial"/>
          <w:b/>
          <w:sz w:val="22"/>
        </w:rPr>
        <w:t>(d)</w:t>
      </w:r>
      <w:r>
        <w:rPr>
          <w:rFonts w:ascii="Arial" w:hAnsi="Arial"/>
          <w:sz w:val="22"/>
        </w:rPr>
        <w:t xml:space="preserve">  Except as provided in Section 6.4(b), unless a shorter period is provided in the Stock Option Agreement, each Stock Option shall expire on the date ten years after the date of grant. </w:t>
      </w:r>
    </w:p>
    <w:p>
      <w:pPr>
        <w:pStyle w:val="TextBody"/>
        <w:bidi w:val="0"/>
        <w:spacing w:before="240" w:after="0"/>
        <w:jc w:val="both"/>
        <w:rPr>
          <w:rFonts w:ascii="Arial" w:hAnsi="Arial"/>
          <w:sz w:val="22"/>
        </w:rPr>
      </w:pPr>
      <w:r>
        <w:rPr>
          <w:rFonts w:ascii="Arial" w:hAnsi="Arial"/>
          <w:b/>
          <w:sz w:val="22"/>
        </w:rPr>
        <w:t>6.4</w:t>
      </w:r>
      <w:r>
        <w:rPr>
          <w:rFonts w:ascii="Arial" w:hAnsi="Arial"/>
          <w:sz w:val="22"/>
        </w:rPr>
        <w:t>  </w:t>
      </w:r>
      <w:r>
        <w:rPr>
          <w:rFonts w:ascii="Arial" w:hAnsi="Arial"/>
          <w:sz w:val="22"/>
          <w:u w:val="single"/>
        </w:rPr>
        <w:t>Required Terms and Conditions of ISOs</w:t>
      </w:r>
      <w:r>
        <w:rPr>
          <w:rFonts w:ascii="Arial" w:hAnsi="Arial"/>
          <w:sz w:val="22"/>
        </w:rPr>
        <w:t xml:space="preserve">. In addition to the foregoing, each ISO granted to an Employee shall be subject to the following specific rules: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  The aggregate Fair Market Value (determined with respect to each ISO at the time such Stock Option is granted) of the shares of Common Stock with respect to which ISOs are exercisable for the first time by an Employee during any calendar year (under all incentive stock option plans of the Company and its Subsidiaries) shall not exceed One Hundred Thousand Dollars ($100,000). If the aggregate Fair Market Value (determined at the time of grant) of the Common Stock subject to an ISO which first becomes exercisable in any calendar year exceeds the limitation of this Section 6.4(a), so much of the ISO that does not exceed the applicable dollar limit shall be an ISO and the remainder shall be a NQSO; but in all other respects, the original Stock Option Agreement shall remain in full force and effect.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  Notwithstanding anything herein to the contrary, if an ISO is granted to an Employee who owns stock possessing more than ten percent (10%) of the total combined voting power of all classes of stock of the Company (or its parent or subsidiaries within the meaning of Section 422(b)(6) of the Code): (i) the purchase price of each share of Common Stock subject to the ISO shall be not less than one hundred ten percent (110%) of the Fair Market Value of the Common Stock on the date the ISO is granted; and (ii) the ISO shall expire, and all rights to purchase shares of Common Stock thereunder shall expire, no later than the fifth (5th) year anniversary of the date the ISO was granted.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  No ISOs shall be granted under the Plan after ten (10) years from the earlier of the date the Plan is adopted or approved by stockholders of the Company, as described in Section 20.1 of the Plan. </w:t>
      </w:r>
    </w:p>
    <w:p>
      <w:pPr>
        <w:pStyle w:val="TextBody"/>
        <w:bidi w:val="0"/>
        <w:spacing w:before="240" w:after="0"/>
        <w:jc w:val="both"/>
        <w:rPr>
          <w:rFonts w:ascii="Arial" w:hAnsi="Arial"/>
          <w:sz w:val="22"/>
        </w:rPr>
      </w:pPr>
      <w:r>
        <w:rPr>
          <w:rFonts w:ascii="Arial" w:hAnsi="Arial"/>
          <w:b/>
          <w:sz w:val="22"/>
        </w:rPr>
        <w:t>6.5</w:t>
      </w:r>
      <w:r>
        <w:rPr>
          <w:rFonts w:ascii="Arial" w:hAnsi="Arial"/>
          <w:sz w:val="22"/>
        </w:rPr>
        <w:t>  </w:t>
      </w:r>
      <w:r>
        <w:rPr>
          <w:rFonts w:ascii="Arial" w:hAnsi="Arial"/>
          <w:sz w:val="22"/>
          <w:u w:val="single"/>
        </w:rPr>
        <w:t>Exercise of Stock Options</w:t>
      </w:r>
      <w:r>
        <w:rPr>
          <w:rFonts w:ascii="Arial" w:hAnsi="Arial"/>
          <w:sz w:val="22"/>
        </w:rPr>
        <w:t xml:space="preserve">.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  A Participant entitled to exercise a Stock Option may do so by delivering written notice to that effect specifying the number of shares of Common Stock with respect to which the Stock Option is being exercised and any other information the Committee may prescribe. All notices or requests provided for herein shall be delivered to the Secretary of the Company or such party as the Secretary may designate.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b/>
          <w:sz w:val="22"/>
        </w:rPr>
        <w:t>(b)</w:t>
      </w:r>
      <w:r>
        <w:rPr>
          <w:rFonts w:ascii="Arial" w:hAnsi="Arial"/>
          <w:sz w:val="22"/>
        </w:rPr>
        <w:t xml:space="preserve">  The Committee in its sole discretion may make available one or more of the following alternatives for the payment of the Stock Option exercise price and specified in the Award Agreement: </w:t>
      </w:r>
    </w:p>
    <w:p>
      <w:pPr>
        <w:pStyle w:val="TextBody"/>
        <w:bidi w:val="0"/>
        <w:spacing w:before="240" w:after="0"/>
        <w:jc w:val="both"/>
        <w:rPr>
          <w:rFonts w:ascii="Arial" w:hAnsi="Arial"/>
          <w:sz w:val="22"/>
        </w:rPr>
      </w:pPr>
      <w:r>
        <w:rPr>
          <w:rFonts w:ascii="Arial" w:hAnsi="Arial"/>
          <w:sz w:val="22"/>
        </w:rPr>
        <w:t xml:space="preserve">(i)  in cash; </w:t>
      </w:r>
    </w:p>
    <w:p>
      <w:pPr>
        <w:pStyle w:val="TextBody"/>
        <w:bidi w:val="0"/>
        <w:spacing w:before="240" w:after="0"/>
        <w:jc w:val="both"/>
        <w:rPr>
          <w:rFonts w:ascii="Arial" w:hAnsi="Arial"/>
          <w:sz w:val="22"/>
        </w:rPr>
      </w:pPr>
      <w:r>
        <w:rPr>
          <w:rFonts w:ascii="Arial" w:hAnsi="Arial"/>
          <w:sz w:val="22"/>
        </w:rPr>
        <w:t xml:space="preserve">(ii)  in cash received from a broker-dealer to whom the Participant has submitted an exercise notice together with irrevocable instructions to deliver promptly to the Company the amount of sales proceeds from the sale of the shares subject to the Stock Option to pay the exercise price; </w:t>
      </w:r>
    </w:p>
    <w:p>
      <w:pPr>
        <w:pStyle w:val="TextBody"/>
        <w:bidi w:val="0"/>
        <w:spacing w:before="240" w:after="0"/>
        <w:jc w:val="both"/>
        <w:rPr>
          <w:rFonts w:ascii="Arial" w:hAnsi="Arial"/>
          <w:sz w:val="22"/>
        </w:rPr>
      </w:pPr>
      <w:r>
        <w:rPr>
          <w:rFonts w:ascii="Arial" w:hAnsi="Arial"/>
          <w:sz w:val="22"/>
        </w:rPr>
        <w:t xml:space="preserve">(iii)  by directing the Company to withhold the number of shares of Common Stock otherwise issuable in connection with the exercise of the Stock Option that have an aggregate Fair Market Value equal to the exercise price; </w:t>
      </w:r>
    </w:p>
    <w:p>
      <w:pPr>
        <w:pStyle w:val="TextBody"/>
        <w:bidi w:val="0"/>
        <w:spacing w:before="240" w:after="0"/>
        <w:jc w:val="both"/>
        <w:rPr>
          <w:rFonts w:ascii="Arial" w:hAnsi="Arial"/>
          <w:sz w:val="22"/>
        </w:rPr>
      </w:pPr>
      <w:r>
        <w:rPr>
          <w:rFonts w:ascii="Arial" w:hAnsi="Arial"/>
          <w:sz w:val="22"/>
        </w:rPr>
        <w:t xml:space="preserve">(iv)  by delivering previously acquired shares of Common Stock that are acceptable to the Committee and that have an aggregate Fair Market Value on the date of exercise equal to the Stock Option exercise price; or </w:t>
      </w:r>
    </w:p>
    <w:p>
      <w:pPr>
        <w:pStyle w:val="TextBody"/>
        <w:bidi w:val="0"/>
        <w:spacing w:before="240" w:after="0"/>
        <w:jc w:val="both"/>
        <w:rPr>
          <w:rFonts w:ascii="Arial" w:hAnsi="Arial"/>
          <w:sz w:val="22"/>
        </w:rPr>
      </w:pPr>
      <w:r>
        <w:rPr>
          <w:rFonts w:ascii="Arial" w:hAnsi="Arial"/>
          <w:sz w:val="22"/>
        </w:rPr>
        <w:t xml:space="preserve">(v)  by certifying to ownership by attestation of such previously acquired shares of Common Stock. </w:t>
      </w:r>
    </w:p>
    <w:p>
      <w:pPr>
        <w:pStyle w:val="TextBody"/>
        <w:bidi w:val="0"/>
        <w:spacing w:before="240" w:after="0"/>
        <w:jc w:val="both"/>
        <w:rPr>
          <w:rFonts w:ascii="Arial" w:hAnsi="Arial"/>
          <w:sz w:val="22"/>
        </w:rPr>
      </w:pPr>
      <w:r>
        <w:rPr>
          <w:rFonts w:ascii="Arial" w:hAnsi="Arial"/>
          <w:sz w:val="22"/>
        </w:rPr>
        <w:t xml:space="preserve">The Committee shall have the sole discretion to establish the terms and conditions applicable to any alternative made available for payment of the Stock Option exercise price.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  The Company shall issue, in the name of the Participant, stock certificates representing the total number of shares of Common Stock issuable pursuant to the exercise of any Stock Option as soon as reasonably practicable after such exercise; provided that any shares of Common Stock purchased by a Participant through a broker-dealer shall be delivered to such broker-dealer in accordance with 12 C.F.R. §220.3(e)(4) or other applicable provision of law. Notwithstanding the foregoing, the Company, in lieu of issuing stock certificates, may reflect the issuance of shares of Common Stock to a Participant on a non–certificated basis, with the ownership of such shares by the Participant evidenced solely by book entry in the records of the Company’s transfer agent. </w:t>
      </w:r>
    </w:p>
    <w:p>
      <w:pPr>
        <w:pStyle w:val="TextBody"/>
        <w:bidi w:val="0"/>
        <w:spacing w:before="240" w:after="0"/>
        <w:jc w:val="both"/>
        <w:rPr>
          <w:rFonts w:ascii="Arial" w:hAnsi="Arial"/>
          <w:b/>
          <w:sz w:val="22"/>
        </w:rPr>
      </w:pPr>
      <w:r>
        <w:rPr>
          <w:rFonts w:ascii="Arial" w:hAnsi="Arial"/>
          <w:b/>
          <w:sz w:val="22"/>
        </w:rPr>
        <w:t xml:space="preserve">Section 7. Stock Awards. </w:t>
      </w:r>
    </w:p>
    <w:p>
      <w:pPr>
        <w:pStyle w:val="TextBody"/>
        <w:bidi w:val="0"/>
        <w:spacing w:before="240" w:after="0"/>
        <w:jc w:val="both"/>
        <w:rPr>
          <w:rFonts w:ascii="Arial" w:hAnsi="Arial"/>
          <w:sz w:val="22"/>
        </w:rPr>
      </w:pPr>
      <w:r>
        <w:rPr>
          <w:rFonts w:ascii="Arial" w:hAnsi="Arial"/>
          <w:b/>
          <w:sz w:val="22"/>
        </w:rPr>
        <w:t>7.1</w:t>
      </w:r>
      <w:r>
        <w:rPr>
          <w:rFonts w:ascii="Arial" w:hAnsi="Arial"/>
          <w:sz w:val="22"/>
        </w:rPr>
        <w:t>  </w:t>
      </w:r>
      <w:r>
        <w:rPr>
          <w:rFonts w:ascii="Arial" w:hAnsi="Arial"/>
          <w:sz w:val="22"/>
          <w:u w:val="single"/>
        </w:rPr>
        <w:t>Grant</w:t>
      </w:r>
      <w:r>
        <w:rPr>
          <w:rFonts w:ascii="Arial" w:hAnsi="Arial"/>
          <w:sz w:val="22"/>
        </w:rPr>
        <w:t xml:space="preserve">. The Committee may, in its discretion, (a) grant shares of Common Stock under the Plan to any Participant without payment of consideration by such Participant or (b) sell shares of Common Stock under the Plan to any Participant for such amount of cash, Common Stock or other consideration as the Committee deems appropriate. </w:t>
      </w:r>
    </w:p>
    <w:p>
      <w:pPr>
        <w:pStyle w:val="TextBody"/>
        <w:bidi w:val="0"/>
        <w:spacing w:before="240" w:after="0"/>
        <w:jc w:val="both"/>
        <w:rPr>
          <w:rFonts w:ascii="Arial" w:hAnsi="Arial"/>
          <w:sz w:val="22"/>
        </w:rPr>
      </w:pPr>
      <w:r>
        <w:rPr>
          <w:rFonts w:ascii="Arial" w:hAnsi="Arial"/>
          <w:b/>
          <w:sz w:val="22"/>
        </w:rPr>
        <w:t>7.2</w:t>
      </w:r>
      <w:r>
        <w:rPr>
          <w:rFonts w:ascii="Arial" w:hAnsi="Arial"/>
          <w:sz w:val="22"/>
        </w:rPr>
        <w:t>  </w:t>
      </w:r>
      <w:r>
        <w:rPr>
          <w:rFonts w:ascii="Arial" w:hAnsi="Arial"/>
          <w:sz w:val="22"/>
          <w:u w:val="single"/>
        </w:rPr>
        <w:t>Stock Award Agreement</w:t>
      </w:r>
      <w:r>
        <w:rPr>
          <w:rFonts w:ascii="Arial" w:hAnsi="Arial"/>
          <w:sz w:val="22"/>
        </w:rPr>
        <w:t xml:space="preserve">. Each share of Common Stock issued to a Participant under this Section 7 shall be evidenced by a Stock Award Agreement, which shall specify whether the shares of Common Stock are granted or sold to the Participant and such other restrictions, terms and conditions (which may include the attainment of Performance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Goals) established by the Committee in its sole discretion, not inconsistent with the Plan and the following provisions: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  The restrictions to which the shares of Common Stock awarded hereunder are subject shall lapse as set forth in the Stock Award Agreement. Stock Awards may provide for the continued vesting or the earlier vesting of such Stock Awards, including in the event of the retirement, death, disability or termination of service of a Participant, or in the event of a Change in Control, after giving consideration to Section 409A.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  Except as provided in this subsection and unless otherwise provided in the Stock Award Agreement, the Participant receiving a grant of or purchasing Common Stock shall thereupon be a stockholder with respect to all of the shares subject to the Stock Award and shall have the rights of a stockholder with respect to such shares, including the right to vote such shares and to receive dividends and other distributions paid with respect to such shares. Notwithstanding the preceding sentence, in the case of a Stock Award that provides for the right to receive dividends or distributions, such dividends or distributions shall be accumulated and held, and such accumulated amounts shall be paid to the Participant only upon the lapse of the restrictions to which the Stock Award is subject, and any such dividends or distributions attributable to the portion of a Stock Award for which the restrictions do not lapse shall be forfeited.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  The Company shall issue, in the name of the Participant, stock certificates representing the total number of shares of Common Stock granted or sold to the Participant, as soon as may be reasonably practicable after such grant or sale, which shall be held by the Secretary of the Company until such time as the Common Stock is forfeited, delivered to the Company, or the restrictions lapse. Notwithstanding the foregoing, the Company, in lieu of issuing stock certificates, may reflect the issuance of shares of Common Stock to a Participant on a non–certificated basis, with the ownership of such shares by the Participant evidenced solely by book entry in the records of the Company’s transfer agent. </w:t>
      </w:r>
    </w:p>
    <w:p>
      <w:pPr>
        <w:pStyle w:val="TextBody"/>
        <w:bidi w:val="0"/>
        <w:spacing w:before="240" w:after="0"/>
        <w:jc w:val="both"/>
        <w:rPr>
          <w:rFonts w:ascii="Arial" w:hAnsi="Arial"/>
          <w:b/>
          <w:sz w:val="22"/>
        </w:rPr>
      </w:pPr>
      <w:r>
        <w:rPr>
          <w:rFonts w:ascii="Arial" w:hAnsi="Arial"/>
          <w:b/>
          <w:sz w:val="22"/>
        </w:rPr>
        <w:t xml:space="preserve">Section 8. Stock Units. </w:t>
      </w:r>
    </w:p>
    <w:p>
      <w:pPr>
        <w:pStyle w:val="TextBody"/>
        <w:bidi w:val="0"/>
        <w:spacing w:before="240" w:after="0"/>
        <w:jc w:val="both"/>
        <w:rPr>
          <w:rFonts w:ascii="Arial" w:hAnsi="Arial"/>
          <w:sz w:val="22"/>
        </w:rPr>
      </w:pPr>
      <w:r>
        <w:rPr>
          <w:rFonts w:ascii="Arial" w:hAnsi="Arial"/>
          <w:b/>
          <w:sz w:val="22"/>
        </w:rPr>
        <w:t>8.1</w:t>
      </w:r>
      <w:r>
        <w:rPr>
          <w:rFonts w:ascii="Arial" w:hAnsi="Arial"/>
          <w:sz w:val="22"/>
        </w:rPr>
        <w:t>  </w:t>
      </w:r>
      <w:r>
        <w:rPr>
          <w:rFonts w:ascii="Arial" w:hAnsi="Arial"/>
          <w:sz w:val="22"/>
          <w:u w:val="single"/>
        </w:rPr>
        <w:t>Grant</w:t>
      </w:r>
      <w:r>
        <w:rPr>
          <w:rFonts w:ascii="Arial" w:hAnsi="Arial"/>
          <w:sz w:val="22"/>
        </w:rPr>
        <w:t xml:space="preserve">. The Committee may, in its discretion, grant Stock Units to any Participant. Each Stock Unit shall entitle the Participant to receive, on the date or upon the occurrence of an event as described in the Stock Unit Agreement, one share of Common Stock or cash equal to the Fair Market Value of a share of Common Stock on the date of such event, as provided in the Stock Unit Agreement. </w:t>
      </w:r>
    </w:p>
    <w:p>
      <w:pPr>
        <w:pStyle w:val="TextBody"/>
        <w:bidi w:val="0"/>
        <w:spacing w:before="240" w:after="0"/>
        <w:jc w:val="both"/>
        <w:rPr>
          <w:rFonts w:ascii="Arial" w:hAnsi="Arial"/>
          <w:sz w:val="22"/>
        </w:rPr>
      </w:pPr>
      <w:r>
        <w:rPr>
          <w:rFonts w:ascii="Arial" w:hAnsi="Arial"/>
          <w:b/>
          <w:sz w:val="22"/>
        </w:rPr>
        <w:t>8.2</w:t>
      </w:r>
      <w:r>
        <w:rPr>
          <w:rFonts w:ascii="Arial" w:hAnsi="Arial"/>
          <w:sz w:val="22"/>
        </w:rPr>
        <w:t>  </w:t>
      </w:r>
      <w:r>
        <w:rPr>
          <w:rFonts w:ascii="Arial" w:hAnsi="Arial"/>
          <w:sz w:val="22"/>
          <w:u w:val="single"/>
        </w:rPr>
        <w:t>Stock Unit Agreement</w:t>
      </w:r>
      <w:r>
        <w:rPr>
          <w:rFonts w:ascii="Arial" w:hAnsi="Arial"/>
          <w:sz w:val="22"/>
        </w:rPr>
        <w:t xml:space="preserve">. Each grant of Stock Units to a Participant under this Section 8 shall be evidenced by a Stock Unit Agreement, which shall specify the restrictions, terms and conditions (which may include the attainment of Performance Goals) established by the Committee in its sole discretion, not inconsistent with the Plan and the following provisions: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  The restrictions to which the Stock Units awarded hereunder are subject shall lapse as set forth in the Stock Unit Agreement. Stock Units may provide for the continued vesting or the earlier vesting of such Stock Units, including in the event of the retirement, death, disability or termination of service of a Participant, or in the event of a Change in Control, after giving consideration to Section 409A.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b/>
          <w:sz w:val="22"/>
        </w:rPr>
        <w:t>(b)</w:t>
      </w:r>
      <w:r>
        <w:rPr>
          <w:rFonts w:ascii="Arial" w:hAnsi="Arial"/>
          <w:sz w:val="22"/>
        </w:rPr>
        <w:t xml:space="preserve">  Except as provided in this subsection (b), and unless otherwise provided in the Stock Unit Agreement, a Participant shall have no rights of a stockholder, including voting or dividend or other distribution rights, with respect to any Stock Units prior to the date they are settled in shares of Common Stock. A Stock Unit Agreement may provide that, until the Stock Units are settled in shares of Common Stock or cash, the Participant shall be credited, on each dividend or distribution payment date applicable to the Common Stock, with an amount equal to the dividends or distributions that the Participant would have received had the Stock Units held by the Participant as of the related record date been actual shares of Common Stock, which credited amounts will be accumulated and held. Such accumulated amounts shall be paid to the Participant only upon the lapse of the restrictions to which the Stock Unit Award is subject, and any such amounts attributable to the portion of a Stock Unit Award for which the restrictions do not lapse shall be forfeited.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  Upon settlement of Stock Units in Common Stock, the Company shall issue, in the name of the Participant, stock certificates representing a number of shares of Common Stock equal to the number of Stock Units being settled. Notwithstanding the foregoing, the Company, in lieu of issuing stock certificates, may reflect the issuance of shares of Common Stock to a Participant on a non–certificated basis, with the ownership of such shares by the Participant evidenced solely by book entry in the records of the Company’s transfer agent. </w:t>
      </w:r>
    </w:p>
    <w:p>
      <w:pPr>
        <w:pStyle w:val="TextBody"/>
        <w:bidi w:val="0"/>
        <w:spacing w:before="240" w:after="0"/>
        <w:jc w:val="both"/>
        <w:rPr>
          <w:rFonts w:ascii="Arial" w:hAnsi="Arial"/>
          <w:b/>
          <w:sz w:val="22"/>
        </w:rPr>
      </w:pPr>
      <w:r>
        <w:rPr>
          <w:rFonts w:ascii="Arial" w:hAnsi="Arial"/>
          <w:b/>
          <w:sz w:val="22"/>
        </w:rPr>
        <w:t xml:space="preserve">Section 9. Stock Appreciation Rights (SARs). </w:t>
      </w:r>
    </w:p>
    <w:p>
      <w:pPr>
        <w:pStyle w:val="TextBody"/>
        <w:bidi w:val="0"/>
        <w:spacing w:before="240" w:after="0"/>
        <w:jc w:val="both"/>
        <w:rPr>
          <w:rFonts w:ascii="Arial" w:hAnsi="Arial"/>
          <w:sz w:val="22"/>
        </w:rPr>
      </w:pPr>
      <w:r>
        <w:rPr>
          <w:rFonts w:ascii="Arial" w:hAnsi="Arial"/>
          <w:b/>
          <w:sz w:val="22"/>
        </w:rPr>
        <w:t>9.1</w:t>
      </w:r>
      <w:r>
        <w:rPr>
          <w:rFonts w:ascii="Arial" w:hAnsi="Arial"/>
          <w:sz w:val="22"/>
        </w:rPr>
        <w:t>  </w:t>
      </w:r>
      <w:r>
        <w:rPr>
          <w:rFonts w:ascii="Arial" w:hAnsi="Arial"/>
          <w:sz w:val="22"/>
          <w:u w:val="single"/>
        </w:rPr>
        <w:t>Grant</w:t>
      </w:r>
      <w:r>
        <w:rPr>
          <w:rFonts w:ascii="Arial" w:hAnsi="Arial"/>
          <w:sz w:val="22"/>
        </w:rPr>
        <w:t xml:space="preserve">. The Committee may, in its discretion, grant an SAR under the Plan to any Participant who is an Employee. Each SAR granted to a Participant shall entitle the Participant to receive an amount (payable in cash or in shares of Common Stock, or a combination thereof, determined by the Committee and set forth in the related Stock Appreciation Right Agreement) equal to the excess of (a) the Fair Market Value per share of Common Stock on the date of exercise of such SAR, over (b) the exercise price of the SAR, multiplied by the number of shares of the Common Stock with respect to which the SAR is being exercised. </w:t>
      </w:r>
    </w:p>
    <w:p>
      <w:pPr>
        <w:pStyle w:val="TextBody"/>
        <w:bidi w:val="0"/>
        <w:spacing w:before="240" w:after="0"/>
        <w:jc w:val="both"/>
        <w:rPr>
          <w:rFonts w:ascii="Arial" w:hAnsi="Arial"/>
          <w:sz w:val="22"/>
        </w:rPr>
      </w:pPr>
      <w:r>
        <w:rPr>
          <w:rFonts w:ascii="Arial" w:hAnsi="Arial"/>
          <w:b/>
          <w:sz w:val="22"/>
        </w:rPr>
        <w:t>9.2</w:t>
      </w:r>
      <w:r>
        <w:rPr>
          <w:rFonts w:ascii="Arial" w:hAnsi="Arial"/>
          <w:sz w:val="22"/>
        </w:rPr>
        <w:t>  </w:t>
      </w:r>
      <w:r>
        <w:rPr>
          <w:rFonts w:ascii="Arial" w:hAnsi="Arial"/>
          <w:sz w:val="22"/>
          <w:u w:val="single"/>
        </w:rPr>
        <w:t>Stock Appreciation Right Agreement</w:t>
      </w:r>
      <w:r>
        <w:rPr>
          <w:rFonts w:ascii="Arial" w:hAnsi="Arial"/>
          <w:sz w:val="22"/>
        </w:rPr>
        <w:t xml:space="preserve">. Each SAR granted under this Section 9 shall be evidenced by a Stock Appreciation Right Agreement, specifying the conditions for exercise, the exercise period, the exercise price, the expiration date, the number of shares of Common Stock subject to each SAR, whether the SAR is to be settled in shares of Common Stock or cash and such other terms and conditions (which may include the attainment of Performance Goals) established by the Committee in its sole discretion, not inconsistent with the Plan and the following provisions: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  Except in the case of Substitute Awards and Section 17.3, the per share exercise price of each SAR shall be one hundred percent (100%) of the Fair Market Value of the Common Stock subject to the SAR on the date on which the SAR is granted.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  Each SAR shall become exercisable as set forth in the Stock Appreciation Right Agreement. SARs may provide for the continued vesting or the earlier vesting of such SARs, including in the event of the retirement, death, disability or termination of service of a Participant, or in the event of a Change in Control.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b/>
          <w:sz w:val="22"/>
        </w:rPr>
        <w:t>(c)</w:t>
      </w:r>
      <w:r>
        <w:rPr>
          <w:rFonts w:ascii="Arial" w:hAnsi="Arial"/>
          <w:sz w:val="22"/>
        </w:rPr>
        <w:t xml:space="preserve">  Unless a shorter period is provided in the Stock Appreciation Right Agreement, each SAR shall expire on the date ten years after the date of grant. </w:t>
      </w:r>
    </w:p>
    <w:p>
      <w:pPr>
        <w:pStyle w:val="TextBody"/>
        <w:bidi w:val="0"/>
        <w:spacing w:before="240" w:after="0"/>
        <w:jc w:val="both"/>
        <w:rPr>
          <w:rFonts w:ascii="Arial" w:hAnsi="Arial"/>
          <w:sz w:val="22"/>
        </w:rPr>
      </w:pPr>
      <w:r>
        <w:rPr>
          <w:rFonts w:ascii="Arial" w:hAnsi="Arial"/>
          <w:b/>
          <w:sz w:val="22"/>
        </w:rPr>
        <w:t>(d)</w:t>
      </w:r>
      <w:r>
        <w:rPr>
          <w:rFonts w:ascii="Arial" w:hAnsi="Arial"/>
          <w:sz w:val="22"/>
        </w:rPr>
        <w:t xml:space="preserve">  Upon exercise of an SAR settled in Common Stock, the Company shall issue, in the name of the Participant, stock certificates representing the total number of shares of Common Stock issuable to the Participant. Notwithstanding the foregoing, the Company, in lieu of issuing stock certificates, may reflect the issuance of shares of Common Stock to a Participant on a non–certificated basis, with the ownership of such shares by the Participant evidenced solely by book entry in the records of the Company’s transfer agent. </w:t>
      </w:r>
    </w:p>
    <w:p>
      <w:pPr>
        <w:pStyle w:val="TextBody"/>
        <w:bidi w:val="0"/>
        <w:spacing w:before="240" w:after="0"/>
        <w:jc w:val="both"/>
        <w:rPr>
          <w:rFonts w:ascii="Arial" w:hAnsi="Arial"/>
          <w:sz w:val="22"/>
        </w:rPr>
      </w:pPr>
      <w:r>
        <w:rPr>
          <w:rFonts w:ascii="Arial" w:hAnsi="Arial"/>
          <w:sz w:val="22"/>
        </w:rPr>
        <w:t xml:space="preserve">With respect to a Stock Appreciation Right, in no event shall a Participant be entitled to amounts equivalent to cash dividends, stock dividends or other property dividends on the shares of Common Stock subject to the SAR. </w:t>
      </w:r>
    </w:p>
    <w:p>
      <w:pPr>
        <w:pStyle w:val="TextBody"/>
        <w:bidi w:val="0"/>
        <w:spacing w:before="240" w:after="0"/>
        <w:jc w:val="both"/>
        <w:rPr>
          <w:rFonts w:ascii="Arial" w:hAnsi="Arial"/>
          <w:b/>
          <w:sz w:val="22"/>
        </w:rPr>
      </w:pPr>
      <w:r>
        <w:rPr>
          <w:rFonts w:ascii="Arial" w:hAnsi="Arial"/>
          <w:b/>
          <w:sz w:val="22"/>
        </w:rPr>
        <w:t xml:space="preserve">Section 10. Other Awards. </w:t>
      </w:r>
    </w:p>
    <w:p>
      <w:pPr>
        <w:pStyle w:val="TextBody"/>
        <w:bidi w:val="0"/>
        <w:spacing w:before="240" w:after="0"/>
        <w:jc w:val="both"/>
        <w:rPr>
          <w:rFonts w:ascii="Arial" w:hAnsi="Arial"/>
          <w:sz w:val="22"/>
        </w:rPr>
      </w:pPr>
      <w:r>
        <w:rPr>
          <w:rFonts w:ascii="Arial" w:hAnsi="Arial"/>
          <w:b/>
          <w:sz w:val="22"/>
        </w:rPr>
        <w:t>10.1</w:t>
      </w:r>
      <w:r>
        <w:rPr>
          <w:rFonts w:ascii="Arial" w:hAnsi="Arial"/>
          <w:sz w:val="22"/>
        </w:rPr>
        <w:t> </w:t>
      </w:r>
      <w:r>
        <w:rPr>
          <w:rFonts w:ascii="Arial" w:hAnsi="Arial"/>
          <w:sz w:val="22"/>
          <w:u w:val="single"/>
        </w:rPr>
        <w:t>Grant</w:t>
      </w:r>
      <w:r>
        <w:rPr>
          <w:rFonts w:ascii="Arial" w:hAnsi="Arial"/>
          <w:sz w:val="22"/>
        </w:rPr>
        <w:t xml:space="preserve">. The Committee may, in its discretion, grant an Other Award under the Plan to any Participant. An Other Award may consist of (a) cash incentive awards or (b) shares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Common Stock or the value of securities of, or the performance of specified Subsidiaries or affiliates or other business units of the Company. </w:t>
      </w:r>
    </w:p>
    <w:p>
      <w:pPr>
        <w:pStyle w:val="TextBody"/>
        <w:bidi w:val="0"/>
        <w:spacing w:before="240" w:after="0"/>
        <w:jc w:val="both"/>
        <w:rPr>
          <w:rFonts w:ascii="Arial" w:hAnsi="Arial"/>
          <w:sz w:val="22"/>
        </w:rPr>
      </w:pPr>
      <w:r>
        <w:rPr>
          <w:rFonts w:ascii="Arial" w:hAnsi="Arial"/>
          <w:b/>
          <w:sz w:val="22"/>
        </w:rPr>
        <w:t>10.2</w:t>
      </w:r>
      <w:r>
        <w:rPr>
          <w:rFonts w:ascii="Arial" w:hAnsi="Arial"/>
          <w:sz w:val="22"/>
        </w:rPr>
        <w:t> </w:t>
      </w:r>
      <w:r>
        <w:rPr>
          <w:rFonts w:ascii="Arial" w:hAnsi="Arial"/>
          <w:sz w:val="22"/>
          <w:u w:val="single"/>
        </w:rPr>
        <w:t>Other Award Agreement</w:t>
      </w:r>
      <w:r>
        <w:rPr>
          <w:rFonts w:ascii="Arial" w:hAnsi="Arial"/>
          <w:sz w:val="22"/>
        </w:rPr>
        <w:t xml:space="preserve">. Each grant of an Other Award to a Participant under this Section 10 shall be evidenced by an Other Award Agreement, which shall specify the restrictions, terms and conditions (which may include the attainment of Performance Goals) established by the Committee in its sole discretion, not inconsistent with the Plan and the following provisions: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  The terms and conditions to which the Other Awards awarded hereunder are subject shall be set forth in the Other Award Agreement. Other Awards may provide for the continued vesting or the earlier vesting of such Other Awards, including in the event of the retirement, death, disability or termination of service of a Participant, or in the event of a Change in Control, after giving consideration to Section 409A.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  Shares of Common Stock delivered pursuant to an award in the nature of a purchase right granted under this Section 10 will be purchased for such consideration, paid for at such time, by such methods, and in such forms, including, without limitation, shares of Common Stock, other awards, notes or other property, as the Committee determines.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  The Committee may authorize the grant of Common Stock as a bonus, or may grant other awards in lieu of obligations of the Company or a Subsidiary to pay cash or deliver other property under the Plan or under other plans or compensatory arrangements, subject to such terms as will be determined by the Committee in a manner that complies with Section 409A.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b/>
          <w:sz w:val="22"/>
        </w:rPr>
        <w:t>(d)</w:t>
      </w:r>
      <w:r>
        <w:rPr>
          <w:rFonts w:ascii="Arial" w:hAnsi="Arial"/>
          <w:sz w:val="22"/>
        </w:rPr>
        <w:t xml:space="preserve">  The Committee may, at or after the date of grant, authorize the payment of dividends or dividend equivalents on awards granted under this Section 10. Notwithstanding the preceding sentence, in the case of an Other Award that provides for the right to receive dividends or distributions, such dividends or distributions shall be accumulated and held, and such accumulated amounts shall be paid to the Participant only upon the lapse of the restrictions to which the Other Award is subject, and any such dividends or distributions attributable to the portion of an Other Award for which the restrictions do not lapse shall be forfeited. </w:t>
      </w:r>
    </w:p>
    <w:p>
      <w:pPr>
        <w:pStyle w:val="TextBody"/>
        <w:bidi w:val="0"/>
        <w:spacing w:before="240" w:after="0"/>
        <w:jc w:val="left"/>
        <w:rPr>
          <w:rFonts w:ascii="Arial" w:hAnsi="Arial"/>
          <w:b/>
          <w:sz w:val="22"/>
        </w:rPr>
      </w:pPr>
      <w:r>
        <w:rPr>
          <w:rFonts w:ascii="Arial" w:hAnsi="Arial"/>
          <w:b/>
          <w:sz w:val="22"/>
        </w:rPr>
        <w:t xml:space="preserve">Section 11. Adjustments. </w:t>
      </w:r>
    </w:p>
    <w:p>
      <w:pPr>
        <w:pStyle w:val="TextBody"/>
        <w:bidi w:val="0"/>
        <w:spacing w:before="240" w:after="0"/>
        <w:jc w:val="both"/>
        <w:rPr>
          <w:rFonts w:ascii="Arial" w:hAnsi="Arial"/>
          <w:sz w:val="22"/>
        </w:rPr>
      </w:pPr>
      <w:r>
        <w:rPr>
          <w:rFonts w:ascii="Arial" w:hAnsi="Arial"/>
          <w:sz w:val="22"/>
        </w:rPr>
        <w:t xml:space="preserve">In the event of any reorganization, recapitalization, stock split, stock distribution, extraordinary cash dividend, stock dividend, merger, consolidation, split-up, spin-off, combination, subdivision, consolidation or exchange of shares, any change in the capital structure of the Company or any similar corporate transaction, the Committee shall make such adjustments as are necessary and appropriate to preserve the benefits or intended benefits of the Plan and Awards granted under the Plan. Such adjustments may include: (a) adjustment in the number and kind of shares of Common Stock reserved for issuance under the Plan; (b) adjustment in the number and kind of shares of Common Stock covered by outstanding Awards; (c) adjustment in the exercise price of outstanding Stock Options or Stock Appreciation Rights, or the price of other Awards under the Plan; (d) adjustments to any of the share limitations set forth in Section 5.2(a) of the Plan; and (e) any other changes that the Committee determines to be equitable under the circumstances. Moreover, in the event of a Change in Control, subject to Section 12, the Committee may provide in substitution for any or all outstanding awards under the Plan such alternative consideration (including cash), if any, as it, in good faith, shall determine to be equitable in the circumstances and shall require in connection therewith the surrender of all awards so replaced in a manner that complies with Section 409A. In addition, for each Stock Option or Stock Appreciation Right with an exercise price per share greater than the per share consideration offered in connection with a Change in Control, the Committee may in its discretion elect to cancel such Stock Option or Stock Appreciation Right without any payment to the person holding such Stock Option or Stock Appreciation Right. Notwithstanding the foregoing, previously granted Stock Options and SARs are subject only to such adjustments as are necessary to maintain the relative proportionate interest the Stock Options and SARs represented immediately prior to such event and to preserve, without exceeding, the value of Stock Options and SARs in accordance with Code Section 422 and Section 409A. </w:t>
      </w:r>
    </w:p>
    <w:p>
      <w:pPr>
        <w:pStyle w:val="TextBody"/>
        <w:bidi w:val="0"/>
        <w:spacing w:before="240" w:after="0"/>
        <w:jc w:val="left"/>
        <w:rPr>
          <w:rFonts w:ascii="Arial" w:hAnsi="Arial"/>
          <w:b/>
          <w:sz w:val="22"/>
        </w:rPr>
      </w:pPr>
      <w:r>
        <w:rPr>
          <w:rFonts w:ascii="Arial" w:hAnsi="Arial"/>
          <w:b/>
          <w:sz w:val="22"/>
        </w:rPr>
        <w:t xml:space="preserve">Section 12. Change in Control. </w:t>
      </w:r>
    </w:p>
    <w:p>
      <w:pPr>
        <w:pStyle w:val="TextBody"/>
        <w:bidi w:val="0"/>
        <w:spacing w:before="240" w:after="0"/>
        <w:jc w:val="both"/>
        <w:rPr>
          <w:rFonts w:ascii="Arial" w:hAnsi="Arial"/>
          <w:sz w:val="22"/>
        </w:rPr>
      </w:pPr>
      <w:r>
        <w:rPr>
          <w:rFonts w:ascii="Arial" w:hAnsi="Arial"/>
          <w:b/>
          <w:sz w:val="22"/>
        </w:rPr>
        <w:t>12.1</w:t>
      </w:r>
      <w:r>
        <w:rPr>
          <w:rFonts w:ascii="Arial" w:hAnsi="Arial"/>
          <w:sz w:val="22"/>
        </w:rPr>
        <w:t> </w:t>
      </w:r>
      <w:r>
        <w:rPr>
          <w:rFonts w:ascii="Arial" w:hAnsi="Arial"/>
          <w:sz w:val="22"/>
          <w:u w:val="single"/>
        </w:rPr>
        <w:t>Effect of Change in Control</w:t>
      </w:r>
      <w:r>
        <w:rPr>
          <w:rFonts w:ascii="Arial" w:hAnsi="Arial"/>
          <w:sz w:val="22"/>
        </w:rPr>
        <w:t xml:space="preserve">. Notwithstanding any of the provisions of the Plan and except as otherwise provided in any Award Agreement, upon a Change in Control of the Company (as defined in Section 12.2):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  If a Replacement Award (as defined in Section 12.1(b) below) is not granted in respect of an outstanding Award: </w:t>
      </w:r>
    </w:p>
    <w:p>
      <w:pPr>
        <w:pStyle w:val="TextBody"/>
        <w:bidi w:val="0"/>
        <w:spacing w:before="240" w:after="0"/>
        <w:jc w:val="both"/>
        <w:rPr>
          <w:rFonts w:ascii="Arial" w:hAnsi="Arial"/>
          <w:sz w:val="22"/>
        </w:rPr>
      </w:pPr>
      <w:r>
        <w:rPr>
          <w:rFonts w:ascii="Arial" w:hAnsi="Arial"/>
          <w:sz w:val="22"/>
        </w:rPr>
        <w:t xml:space="preserve">(i)  all such Awards that have been earned but not paid shall become immediately payable in cash;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(ii)  all outstanding Awards shall become fully exercisable; </w:t>
      </w:r>
    </w:p>
    <w:p>
      <w:pPr>
        <w:pStyle w:val="TextBody"/>
        <w:bidi w:val="0"/>
        <w:spacing w:before="240" w:after="0"/>
        <w:jc w:val="both"/>
        <w:rPr>
          <w:rFonts w:ascii="Arial" w:hAnsi="Arial"/>
          <w:sz w:val="22"/>
        </w:rPr>
      </w:pPr>
      <w:r>
        <w:rPr>
          <w:rFonts w:ascii="Arial" w:hAnsi="Arial"/>
          <w:sz w:val="22"/>
        </w:rPr>
        <w:t xml:space="preserve">(iii)  all restrictions applicable to all Awards shall terminate or lapse; and </w:t>
      </w:r>
    </w:p>
    <w:p>
      <w:pPr>
        <w:pStyle w:val="TextBody"/>
        <w:bidi w:val="0"/>
        <w:spacing w:before="240" w:after="0"/>
        <w:jc w:val="both"/>
        <w:rPr>
          <w:rFonts w:ascii="Arial" w:hAnsi="Arial"/>
          <w:sz w:val="22"/>
        </w:rPr>
      </w:pPr>
      <w:r>
        <w:rPr>
          <w:rFonts w:ascii="Arial" w:hAnsi="Arial"/>
          <w:sz w:val="22"/>
        </w:rPr>
        <w:t xml:space="preserve">(iv)  Performance Goals (if any) applicable to any Award that has not yet been earned shall be deemed satisfied at the performance level that provides for a target payout. </w:t>
      </w:r>
    </w:p>
    <w:p>
      <w:pPr>
        <w:pStyle w:val="TextBody"/>
        <w:bidi w:val="0"/>
        <w:spacing w:before="240" w:after="0"/>
        <w:jc w:val="both"/>
        <w:rPr>
          <w:rFonts w:ascii="Arial" w:hAnsi="Arial"/>
          <w:sz w:val="22"/>
        </w:rPr>
      </w:pPr>
      <w:r>
        <w:rPr>
          <w:rFonts w:ascii="Arial" w:hAnsi="Arial"/>
          <w:b/>
          <w:sz w:val="22"/>
        </w:rPr>
        <w:t>(b)</w:t>
      </w:r>
      <w:r>
        <w:rPr>
          <w:rFonts w:ascii="Arial" w:hAnsi="Arial"/>
          <w:sz w:val="22"/>
        </w:rPr>
        <w:t>  If an outstanding Award is replaced with an equity award that preserves the existing value of the Award and has terms and conditions (including the schedule by which such Award vests or the restrictions lapse) that are at least as favorable to the Participant as the terms and conditions in effect immediately prior to the Change in Control (a “</w:t>
      </w:r>
      <w:r>
        <w:rPr>
          <w:rFonts w:ascii="Arial" w:hAnsi="Arial"/>
          <w:sz w:val="22"/>
          <w:u w:val="single"/>
        </w:rPr>
        <w:t>Replacement Award</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(i)  all such Replacement Awards shall remain outstanding and be governed by such terms and conditions; provided, however, if within two (2) years following the Change in Control a Participant’s employment or service on the Board is terminated without Cause, or if a Participant terminates employment for Good Reason, all such Replacement Awards shall become fully exercisable and all restrictions applicable to all such Replacement Awards shall terminate or lapse; and </w:t>
      </w:r>
    </w:p>
    <w:p>
      <w:pPr>
        <w:pStyle w:val="TextBody"/>
        <w:bidi w:val="0"/>
        <w:spacing w:before="240" w:after="0"/>
        <w:jc w:val="both"/>
        <w:rPr>
          <w:rFonts w:ascii="Arial" w:hAnsi="Arial"/>
          <w:sz w:val="22"/>
        </w:rPr>
      </w:pPr>
      <w:r>
        <w:rPr>
          <w:rFonts w:ascii="Arial" w:hAnsi="Arial"/>
          <w:sz w:val="22"/>
        </w:rPr>
        <w:t xml:space="preserve">(ii)  An equity award granted in replacement of an outstanding Award that is subject to Performance Goals shall be deemed a Replacement Award under this Section 12.1(b) only if (A) it is subject to only time-based vesting and (B) its value is determined at the target level of the Performance Goals applicable to the outstanding Award it replaces. </w:t>
      </w:r>
    </w:p>
    <w:p>
      <w:pPr>
        <w:pStyle w:val="TextBody"/>
        <w:bidi w:val="0"/>
        <w:spacing w:before="240" w:after="0"/>
        <w:jc w:val="both"/>
        <w:rPr>
          <w:rFonts w:ascii="Arial" w:hAnsi="Arial"/>
          <w:sz w:val="22"/>
        </w:rPr>
      </w:pPr>
      <w:r>
        <w:rPr>
          <w:rFonts w:ascii="Arial" w:hAnsi="Arial"/>
          <w:b/>
          <w:sz w:val="22"/>
        </w:rPr>
        <w:t>12.2</w:t>
      </w:r>
      <w:r>
        <w:rPr>
          <w:rFonts w:ascii="Arial" w:hAnsi="Arial"/>
          <w:sz w:val="22"/>
        </w:rPr>
        <w:t> </w:t>
      </w:r>
      <w:r>
        <w:rPr>
          <w:rFonts w:ascii="Arial" w:hAnsi="Arial"/>
          <w:sz w:val="22"/>
          <w:u w:val="single"/>
        </w:rPr>
        <w:t>Definition of Change in Control</w:t>
      </w:r>
      <w:r>
        <w:rPr>
          <w:rFonts w:ascii="Arial" w:hAnsi="Arial"/>
          <w:sz w:val="22"/>
        </w:rPr>
        <w:t>. “</w:t>
      </w:r>
      <w:r>
        <w:rPr>
          <w:rFonts w:ascii="Arial" w:hAnsi="Arial"/>
          <w:sz w:val="22"/>
          <w:u w:val="single"/>
        </w:rPr>
        <w:t>Change in Control</w:t>
      </w:r>
      <w:r>
        <w:rPr>
          <w:rFonts w:ascii="Arial" w:hAnsi="Arial"/>
          <w:sz w:val="22"/>
        </w:rPr>
        <w:t xml:space="preserve">” shall mean (except as otherwise provided in an Award Agreement) the occurrence, at any time during the specified term of an Award granted under the Plan, of any of the following events: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  any individual, partnership, firm, corporation, association, trust, unincorporated organization, or other entity (other than the Company or a trustee or other fiduciary holding securities under an employee benefit plan of the Company), or any syndicate or group deemed to be a person under Section 14(d)(2) of the Exchange Act, is or becomes the “beneficial owner” (as defined in Rule 13d-3 of the General Rules and Regulations under the Exchange Act), directly or indirectly, of securities of the Company representing twenty-five percent (25%) or more of the combined voting power of the Company’s then outstanding securities entitled to vote generally in the election of directors;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  the Company is party to a merger, consolidation, reorganization, or other similar transaction with another corporation or other legal person unless, following such transaction, more than fifty percent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  the Company sells all or substantially all of its business and/or assets to another corporation or other legal person unless, following such sale, more than fifty percent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 or </w:t>
      </w:r>
    </w:p>
    <w:p>
      <w:pPr>
        <w:pStyle w:val="TextBody"/>
        <w:bidi w:val="0"/>
        <w:spacing w:before="240" w:after="0"/>
        <w:jc w:val="both"/>
        <w:rPr>
          <w:rFonts w:ascii="Arial" w:hAnsi="Arial"/>
          <w:sz w:val="22"/>
        </w:rPr>
      </w:pPr>
      <w:r>
        <w:rPr>
          <w:rFonts w:ascii="Arial" w:hAnsi="Arial"/>
          <w:b/>
          <w:sz w:val="22"/>
        </w:rPr>
        <w:t>(d)</w:t>
      </w:r>
      <w:r>
        <w:rPr>
          <w:rFonts w:ascii="Arial" w:hAnsi="Arial"/>
          <w:sz w:val="22"/>
        </w:rPr>
        <w:t>  during any period of two (2) consecutive years or less, individuals who, (A) at the beginning of such period constituted the Board (collectively, the “</w:t>
      </w:r>
      <w:r>
        <w:rPr>
          <w:rFonts w:ascii="Arial" w:hAnsi="Arial"/>
          <w:sz w:val="22"/>
          <w:u w:val="single"/>
        </w:rPr>
        <w:t>Board</w:t>
      </w:r>
      <w:r>
        <w:rPr>
          <w:rFonts w:ascii="Arial" w:hAnsi="Arial"/>
          <w:sz w:val="22"/>
        </w:rPr>
        <w:t>” and individually, a “</w:t>
      </w:r>
      <w:r>
        <w:rPr>
          <w:rFonts w:ascii="Arial" w:hAnsi="Arial"/>
          <w:sz w:val="22"/>
          <w:u w:val="single"/>
        </w:rPr>
        <w:t>Director</w:t>
      </w:r>
      <w:r>
        <w:rPr>
          <w:rFonts w:ascii="Arial" w:hAnsi="Arial"/>
          <w:sz w:val="22"/>
        </w:rPr>
        <w:t xml:space="preserve">”) (and any new Directors, whose appointment or election by the Board or nomination for election by the Company’s stockholders was approved by a vote of at least two-thirds (2/3) of the Directors then still in office who either were Directors at the beginning of the period or whose appointment, election, or nomination for election was so approved) and (B) have not in the interim during such period ceased their service as a Director for any duration (without reappointment to the Board as a new Director whose appointment or election was approved by a vote of at least two-thirds of the Directors then still in office who either were Directors at the beginning of the period and throughout such interim period or whose appointment, election or nomination for election was so approved), cease for any reason to constitute a majority of the Board. </w:t>
      </w:r>
    </w:p>
    <w:p>
      <w:pPr>
        <w:pStyle w:val="TextBody"/>
        <w:bidi w:val="0"/>
        <w:spacing w:before="240" w:after="0"/>
        <w:jc w:val="both"/>
        <w:rPr>
          <w:rFonts w:ascii="Arial" w:hAnsi="Arial"/>
          <w:b/>
          <w:sz w:val="22"/>
        </w:rPr>
      </w:pPr>
      <w:r>
        <w:rPr>
          <w:rFonts w:ascii="Arial" w:hAnsi="Arial"/>
          <w:b/>
          <w:sz w:val="22"/>
        </w:rPr>
        <w:t xml:space="preserve">Section 13. Securities Law Restrictions. </w:t>
      </w:r>
    </w:p>
    <w:p>
      <w:pPr>
        <w:pStyle w:val="TextBody"/>
        <w:bidi w:val="0"/>
        <w:spacing w:before="240" w:after="0"/>
        <w:jc w:val="both"/>
        <w:rPr>
          <w:rFonts w:ascii="Arial" w:hAnsi="Arial"/>
          <w:sz w:val="22"/>
        </w:rPr>
      </w:pPr>
      <w:r>
        <w:rPr>
          <w:rFonts w:ascii="Arial" w:hAnsi="Arial"/>
          <w:sz w:val="22"/>
        </w:rPr>
        <w:t xml:space="preserve">The Committee may impose such restrictions on Awards and shares or any other benefits underlying Awards hereunder as it may deem advisable, including without limitation restrictions under the Code and federal securities laws, the requirements of any stock exchange or similar organization, and any blue sky, state, or foreign securities laws applicable to such securities. Notwithstanding any other Plan provision to the contrary, the Committee shall not be obligated to issue, deliver, or transfer shares of Common Stock under the Plan, make any other distribution of benefits under the Plan, or take any other action, unless such delivery, distribution, or action is in compliance with all applicable laws, rules, and regulations (including but not limited to the requirements of the Code and the securities acts). The Committee may cause a restrictive legend to be placed on any shares of Common Stock issued pursuant to an Award hereunder in such form as may be prescribed from time to time by applicable laws and regulations or as may be advised by legal counsel. The term of an Award shall not be extended, and neither the Company nor its Directors or officers shall have any obligation or liability to a Participant, the Participant’s successor or any other person with respect to any shares of Common Stock as to which the Award shall lapse because of such restrictions.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2"/>
        </w:rPr>
      </w:pPr>
      <w:r>
        <w:rPr>
          <w:rFonts w:ascii="Arial" w:hAnsi="Arial"/>
          <w:b/>
          <w:sz w:val="22"/>
        </w:rPr>
        <w:t xml:space="preserve">Section 14. Payment of Taxes. </w:t>
      </w:r>
    </w:p>
    <w:p>
      <w:pPr>
        <w:pStyle w:val="TextBody"/>
        <w:bidi w:val="0"/>
        <w:spacing w:before="240" w:after="0"/>
        <w:jc w:val="both"/>
        <w:rPr>
          <w:rFonts w:ascii="Arial" w:hAnsi="Arial"/>
          <w:sz w:val="22"/>
        </w:rPr>
      </w:pPr>
      <w:r>
        <w:rPr>
          <w:rFonts w:ascii="Arial" w:hAnsi="Arial"/>
          <w:sz w:val="22"/>
        </w:rPr>
        <w:t xml:space="preserve">In connection with any Award, and as a condition to the issuance or delivery of any shares of Common Stock or cash amount to the Participant in connection therewith, the Company may require the Participant to pay the Company an amount equal to the amount of the tax the Company or any Subsidiary may be required to withhold to obtain a deduction for federal, state or local income tax purposes as a result of such Award or to comply with applicable law. The Committee in its sole discretion may make available one or more of the following alternatives for the payment of such taxes: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  in cash;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  in cash received from a broker-dealer to whom the Participant has submitted notice together with irrevocable instructions to deliver promptly to the Company the amount of sales proceeds from the sale of the shares subject to the Award to pay the withholding taxes;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  by directing the Company to withhold the number of shares of Common Stock otherwise issuable in connection with the Award that have an aggregate Fair Market Value equal to the amount of tax required to be withheld; </w:t>
      </w:r>
    </w:p>
    <w:p>
      <w:pPr>
        <w:pStyle w:val="TextBody"/>
        <w:bidi w:val="0"/>
        <w:spacing w:before="240" w:after="0"/>
        <w:jc w:val="both"/>
        <w:rPr>
          <w:rFonts w:ascii="Arial" w:hAnsi="Arial"/>
          <w:sz w:val="22"/>
        </w:rPr>
      </w:pPr>
      <w:r>
        <w:rPr>
          <w:rFonts w:ascii="Arial" w:hAnsi="Arial"/>
          <w:b/>
          <w:sz w:val="22"/>
        </w:rPr>
        <w:t>(d)</w:t>
      </w:r>
      <w:r>
        <w:rPr>
          <w:rFonts w:ascii="Arial" w:hAnsi="Arial"/>
          <w:sz w:val="22"/>
        </w:rPr>
        <w:t xml:space="preserve">  by delivering previously acquired shares of Common Stock of the Company that are acceptable to the Committee that have an aggregate Fair Market Value equal to the amount required to be withheld; or </w:t>
      </w:r>
    </w:p>
    <w:p>
      <w:pPr>
        <w:pStyle w:val="TextBody"/>
        <w:bidi w:val="0"/>
        <w:spacing w:before="240" w:after="0"/>
        <w:jc w:val="both"/>
        <w:rPr>
          <w:rFonts w:ascii="Arial" w:hAnsi="Arial"/>
          <w:sz w:val="22"/>
        </w:rPr>
      </w:pPr>
      <w:r>
        <w:rPr>
          <w:rFonts w:ascii="Arial" w:hAnsi="Arial"/>
          <w:b/>
          <w:sz w:val="22"/>
        </w:rPr>
        <w:t>(e)</w:t>
      </w:r>
      <w:r>
        <w:rPr>
          <w:rFonts w:ascii="Arial" w:hAnsi="Arial"/>
          <w:sz w:val="22"/>
        </w:rPr>
        <w:t xml:space="preserve">  by certifying to ownership by attestation of such previously acquired shares of Common Stock. </w:t>
      </w:r>
    </w:p>
    <w:p>
      <w:pPr>
        <w:pStyle w:val="TextBody"/>
        <w:bidi w:val="0"/>
        <w:spacing w:before="240" w:after="0"/>
        <w:jc w:val="both"/>
        <w:rPr>
          <w:rFonts w:ascii="Arial" w:hAnsi="Arial"/>
          <w:sz w:val="22"/>
        </w:rPr>
      </w:pPr>
      <w:r>
        <w:rPr>
          <w:rFonts w:ascii="Arial" w:hAnsi="Arial"/>
          <w:sz w:val="22"/>
        </w:rPr>
        <w:t xml:space="preserve">Notwithstanding the foregoing, in no event will the Fair Market Value of the shares of Common Stock to be withheld or delivered for the satisfaction of tax obligations pursuant to this Section 14 exceed the minimum amount required to be withheld unless (i) an additional amount can be withheld and not result in adverse accounting consequences and (ii) such additional withholding amount is authorized by the Committee. The Committee shall have the sole discretion to establish the terms and conditions applicable to any alternative made available for payment of the required withholding taxes. </w:t>
      </w:r>
    </w:p>
    <w:p>
      <w:pPr>
        <w:pStyle w:val="TextBody"/>
        <w:bidi w:val="0"/>
        <w:spacing w:before="240" w:after="0"/>
        <w:jc w:val="both"/>
        <w:rPr>
          <w:rFonts w:ascii="Arial" w:hAnsi="Arial"/>
          <w:sz w:val="22"/>
        </w:rPr>
      </w:pPr>
      <w:r>
        <w:rPr>
          <w:rFonts w:ascii="Arial" w:hAnsi="Arial"/>
          <w:sz w:val="22"/>
        </w:rPr>
        <w:t xml:space="preserve">Notwithstanding the foregoing, the Company does not make any representation to any Participant or beneficiary of a Participant as to the tax consequences of any Awards made pursuant to the Plan, and the Company shall have no liability or other obligation to indemnify or hold harmless any Participant or any beneficiary of a Participant for any tax, additional tax, interest or penalties that any Participant or any beneficiary of a Participant may incur as a result of the grant, vesting, or payment of an Award under the Plan. </w:t>
      </w:r>
    </w:p>
    <w:p>
      <w:pPr>
        <w:pStyle w:val="TextBody"/>
        <w:bidi w:val="0"/>
        <w:spacing w:before="240" w:after="0"/>
        <w:jc w:val="left"/>
        <w:rPr>
          <w:rFonts w:ascii="Arial" w:hAnsi="Arial"/>
          <w:b/>
          <w:sz w:val="22"/>
        </w:rPr>
      </w:pPr>
      <w:r>
        <w:rPr>
          <w:rFonts w:ascii="Arial" w:hAnsi="Arial"/>
          <w:b/>
          <w:sz w:val="22"/>
        </w:rPr>
        <w:t xml:space="preserve">Section 15. Non U.S. Participants. </w:t>
      </w:r>
    </w:p>
    <w:p>
      <w:pPr>
        <w:pStyle w:val="TextBody"/>
        <w:bidi w:val="0"/>
        <w:spacing w:before="240" w:after="0"/>
        <w:jc w:val="both"/>
        <w:rPr>
          <w:rFonts w:ascii="Arial" w:hAnsi="Arial"/>
          <w:sz w:val="22"/>
        </w:rPr>
      </w:pPr>
      <w:r>
        <w:rPr>
          <w:rFonts w:ascii="Arial" w:hAnsi="Arial"/>
          <w:sz w:val="22"/>
        </w:rPr>
        <w:t xml:space="preserve">In order to facilitate the making of any grant or combination of grants under the Plan, the Committee may provide for such special terms for awards to Participants who are foreign nationals or who are employed by the Company or any Subsidiary outside of the United States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the Plan (including sub-plans, which are to be considered part of the Plan) as it may consider necessary or appropriate for such purposes, without thereby affecting the terms of the Plan as in effect for any other purpose, and the secretary or other appropriate officer of the Company may certify any such document as having been approved and adopted in the same manner as the Plan. No such special terms, supplements, amendments or restatements, however, will include any provisions that are inconsistent with the terms of the Plan as then in effect unless the Plan could have been amended to eliminate such inconsistency without further approval by the stockholders of the Company. Any such special terms, supplements, sub plans, or alternative versions of the Plan approved by the Committee may be attached as exhibits to the Plan. </w:t>
      </w:r>
    </w:p>
    <w:p>
      <w:pPr>
        <w:pStyle w:val="TextBody"/>
        <w:bidi w:val="0"/>
        <w:spacing w:before="240" w:after="0"/>
        <w:jc w:val="left"/>
        <w:rPr>
          <w:rFonts w:ascii="Arial" w:hAnsi="Arial"/>
          <w:b/>
          <w:sz w:val="22"/>
        </w:rPr>
      </w:pPr>
      <w:r>
        <w:rPr>
          <w:rFonts w:ascii="Arial" w:hAnsi="Arial"/>
          <w:b/>
          <w:sz w:val="22"/>
        </w:rPr>
        <w:t xml:space="preserve">Section 16. Nontransferability. </w:t>
      </w:r>
    </w:p>
    <w:p>
      <w:pPr>
        <w:pStyle w:val="TextBody"/>
        <w:bidi w:val="0"/>
        <w:spacing w:before="240" w:after="0"/>
        <w:jc w:val="both"/>
        <w:rPr>
          <w:rFonts w:ascii="Arial" w:hAnsi="Arial"/>
          <w:sz w:val="22"/>
        </w:rPr>
      </w:pPr>
      <w:r>
        <w:rPr>
          <w:rFonts w:ascii="Arial" w:hAnsi="Arial"/>
          <w:sz w:val="22"/>
        </w:rPr>
        <w:t xml:space="preserve">Awards granted under the Plan, and any rights and privileges pertaining thereto, may not be transferred, assigned, pledged or hypothecated in any manner, or be subject to execution, attachment or similar process, by operation of law or otherwise, other than: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  by will or by the laws of descent and distribution;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  pursuant to the terms of a qualified domestic relations order to which the Participant is a party that meets the requirements of any relevant provisions of the Code; or </w:t>
      </w:r>
    </w:p>
    <w:p>
      <w:pPr>
        <w:pStyle w:val="TextBody"/>
        <w:bidi w:val="0"/>
        <w:spacing w:before="240" w:after="0"/>
        <w:jc w:val="both"/>
        <w:rPr>
          <w:rFonts w:ascii="Arial" w:hAnsi="Arial"/>
          <w:sz w:val="22"/>
        </w:rPr>
      </w:pPr>
      <w:r>
        <w:rPr>
          <w:rFonts w:ascii="Arial" w:hAnsi="Arial"/>
          <w:b/>
          <w:sz w:val="22"/>
        </w:rPr>
        <w:t>(c)</w:t>
      </w:r>
      <w:r>
        <w:rPr>
          <w:rFonts w:ascii="Arial" w:hAnsi="Arial"/>
          <w:sz w:val="22"/>
        </w:rPr>
        <w:t xml:space="preserve">  as permitted by the Committee with respect to a NQSO transferable by the Participant during his or her lifetime for no consideration to (i) the Participant’s spouse or lineal descendant, (ii) the trustee of a trust established for the primary benefit of the Participant’s spouse or lineal descendant, (iii) a partnership or other entity of which the Participant’s spouse and lineal descendants are the only partners or equity owners, or (iv) a tax-exempt organization as described in Code Section 501(c)(3). </w:t>
      </w:r>
    </w:p>
    <w:p>
      <w:pPr>
        <w:pStyle w:val="TextBody"/>
        <w:bidi w:val="0"/>
        <w:spacing w:before="240" w:after="0"/>
        <w:jc w:val="both"/>
        <w:rPr>
          <w:rFonts w:ascii="Arial" w:hAnsi="Arial"/>
          <w:sz w:val="22"/>
        </w:rPr>
      </w:pPr>
      <w:r>
        <w:rPr>
          <w:rFonts w:ascii="Arial" w:hAnsi="Arial"/>
          <w:sz w:val="22"/>
        </w:rPr>
        <w:t xml:space="preserve">In each case, the transfer shall be for no value, and the other terms and conditions applicable to the transferability of the Award shall be established by the Committee. </w:t>
      </w:r>
    </w:p>
    <w:p>
      <w:pPr>
        <w:pStyle w:val="TextBody"/>
        <w:bidi w:val="0"/>
        <w:spacing w:before="240" w:after="0"/>
        <w:jc w:val="both"/>
        <w:rPr>
          <w:rFonts w:ascii="Arial" w:hAnsi="Arial"/>
          <w:b/>
          <w:sz w:val="22"/>
        </w:rPr>
      </w:pPr>
      <w:r>
        <w:rPr>
          <w:rFonts w:ascii="Arial" w:hAnsi="Arial"/>
          <w:b/>
          <w:sz w:val="22"/>
        </w:rPr>
        <w:t xml:space="preserve">Section 17. Termination or Amendment of Plan and Award Agreements. </w:t>
      </w:r>
    </w:p>
    <w:p>
      <w:pPr>
        <w:pStyle w:val="TextBody"/>
        <w:bidi w:val="0"/>
        <w:spacing w:before="240" w:after="0"/>
        <w:jc w:val="both"/>
        <w:rPr>
          <w:rFonts w:ascii="Arial" w:hAnsi="Arial"/>
          <w:sz w:val="22"/>
        </w:rPr>
      </w:pPr>
      <w:r>
        <w:rPr>
          <w:rFonts w:ascii="Arial" w:hAnsi="Arial"/>
          <w:b/>
          <w:sz w:val="22"/>
        </w:rPr>
        <w:t>17.1</w:t>
      </w:r>
      <w:r>
        <w:rPr>
          <w:rFonts w:ascii="Arial" w:hAnsi="Arial"/>
          <w:sz w:val="22"/>
        </w:rPr>
        <w:t>  </w:t>
      </w:r>
      <w:r>
        <w:rPr>
          <w:rFonts w:ascii="Arial" w:hAnsi="Arial"/>
          <w:sz w:val="22"/>
          <w:u w:val="single"/>
        </w:rPr>
        <w:t>Termination or Amendment of Plan</w:t>
      </w:r>
      <w:r>
        <w:rPr>
          <w:rFonts w:ascii="Arial" w:hAnsi="Arial"/>
          <w:sz w:val="22"/>
        </w:rPr>
        <w:t xml:space="preserve">. </w:t>
      </w:r>
    </w:p>
    <w:p>
      <w:pPr>
        <w:pStyle w:val="TextBody"/>
        <w:bidi w:val="0"/>
        <w:spacing w:before="240" w:after="0"/>
        <w:jc w:val="both"/>
        <w:rPr>
          <w:rFonts w:ascii="Arial" w:hAnsi="Arial"/>
          <w:sz w:val="22"/>
        </w:rPr>
      </w:pPr>
      <w:r>
        <w:rPr>
          <w:rFonts w:ascii="Arial" w:hAnsi="Arial"/>
          <w:b/>
          <w:sz w:val="22"/>
        </w:rPr>
        <w:t>(a)</w:t>
      </w:r>
      <w:r>
        <w:rPr>
          <w:rFonts w:ascii="Arial" w:hAnsi="Arial"/>
          <w:sz w:val="22"/>
        </w:rPr>
        <w:t xml:space="preserve">  Except as described in Section 17.3 below, the Board may terminate, suspend, or amend the Plan, in whole or in part, from time to time, without the approval of the stockholders of the Company, unless such approval is required by applicable law, regulation or rule of any stock exchange on which the shares of Common Stock are listed. No amendment or termination of the Plan shall adversely affect the right of any Participant under any outstanding Award in any material way without the written consent of the Participant, unless such amendment or termination is required by applicable law, regulation or rule of any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stock exchange on which the shares of Common Stock are listed. Subject to the foregoing, the Board may correct any defect or supply an omission or reconcile any inconsistency in the Plan or in any Award granted hereunder in the manner and to the extent it shall deem desirable, in its sole discretion, to effectuate the Plan. </w:t>
      </w:r>
    </w:p>
    <w:p>
      <w:pPr>
        <w:pStyle w:val="TextBody"/>
        <w:bidi w:val="0"/>
        <w:spacing w:before="240" w:after="0"/>
        <w:jc w:val="both"/>
        <w:rPr>
          <w:rFonts w:ascii="Arial" w:hAnsi="Arial"/>
          <w:sz w:val="22"/>
        </w:rPr>
      </w:pPr>
      <w:r>
        <w:rPr>
          <w:rFonts w:ascii="Arial" w:hAnsi="Arial"/>
          <w:b/>
          <w:sz w:val="22"/>
        </w:rPr>
        <w:t>(b)</w:t>
      </w:r>
      <w:r>
        <w:rPr>
          <w:rFonts w:ascii="Arial" w:hAnsi="Arial"/>
          <w:sz w:val="22"/>
        </w:rPr>
        <w:t xml:space="preserve">  The Board shall have the authority to amend the Plan to the extent necessary or appropriate to comply with applicable law, regulation or accounting rules in order to permit Employees who are located outside of the United States to participate in the Plan. </w:t>
      </w:r>
    </w:p>
    <w:p>
      <w:pPr>
        <w:pStyle w:val="TextBody"/>
        <w:bidi w:val="0"/>
        <w:spacing w:before="240" w:after="0"/>
        <w:jc w:val="both"/>
        <w:rPr>
          <w:rFonts w:ascii="Arial" w:hAnsi="Arial"/>
          <w:sz w:val="22"/>
        </w:rPr>
      </w:pPr>
      <w:r>
        <w:rPr>
          <w:rFonts w:ascii="Arial" w:hAnsi="Arial"/>
          <w:b/>
          <w:sz w:val="22"/>
        </w:rPr>
        <w:t>17.2</w:t>
      </w:r>
      <w:r>
        <w:rPr>
          <w:rFonts w:ascii="Arial" w:hAnsi="Arial"/>
          <w:sz w:val="22"/>
        </w:rPr>
        <w:t>  </w:t>
      </w:r>
      <w:r>
        <w:rPr>
          <w:rFonts w:ascii="Arial" w:hAnsi="Arial"/>
          <w:sz w:val="22"/>
          <w:u w:val="single"/>
        </w:rPr>
        <w:t>Amendment of Award Agreements</w:t>
      </w:r>
      <w:r>
        <w:rPr>
          <w:rFonts w:ascii="Arial" w:hAnsi="Arial"/>
          <w:sz w:val="22"/>
        </w:rPr>
        <w:t xml:space="preserve">. The Committee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of Common Stock are listed. If permitted by Section 409A, but subject to the paragraph that follows, including in the case of termination of employment or service, or in the case of unforeseeable emergency or other circumstances or in the event of a Change in Control, to the extent a Participant holds an Award which has not yet vested or become exercisable or as to which the substantial risk of forfeiture or the prohibition or restriction on transfer has not lapsed, the Committee may, in its sole discretion, provide for continued vesting or accelerate the time at which such Award may vest or be exercised or the time at which any substantial risk of forfeiture or prohibition or restriction on transfer applicable thereto will lapse. </w:t>
      </w:r>
    </w:p>
    <w:p>
      <w:pPr>
        <w:pStyle w:val="TextBody"/>
        <w:bidi w:val="0"/>
        <w:spacing w:before="240" w:after="0"/>
        <w:jc w:val="both"/>
        <w:rPr>
          <w:rFonts w:ascii="Arial" w:hAnsi="Arial"/>
          <w:sz w:val="22"/>
        </w:rPr>
      </w:pPr>
      <w:r>
        <w:rPr>
          <w:rFonts w:ascii="Arial" w:hAnsi="Arial"/>
          <w:b/>
          <w:sz w:val="22"/>
        </w:rPr>
        <w:t>17.3</w:t>
      </w:r>
      <w:r>
        <w:rPr>
          <w:rFonts w:ascii="Arial" w:hAnsi="Arial"/>
          <w:sz w:val="22"/>
        </w:rPr>
        <w:t>  </w:t>
      </w:r>
      <w:r>
        <w:rPr>
          <w:rFonts w:ascii="Arial" w:hAnsi="Arial"/>
          <w:sz w:val="22"/>
          <w:u w:val="single"/>
        </w:rPr>
        <w:t>No Repricing of Stock Options or SARs</w:t>
      </w:r>
      <w:r>
        <w:rPr>
          <w:rFonts w:ascii="Arial" w:hAnsi="Arial"/>
          <w:sz w:val="22"/>
        </w:rPr>
        <w:t xml:space="preserve">. Notwithstanding the foregoing, any amendment to the Plan or any outstanding Stock Option Agreement or SAR Agreement that results in the repricing of Stock Options or SARs shall not be effective without prior approval of the stockholders of the Company, except with respect to adjustments in accordance with Section 11. For this purpose, repricing includes a reduction in the exercise price of a Stock Option or SAR or the cancellation of a Stock Option or SAR in exchange for cash, Stock Options or SARs with an exercise price less than the exercise price of the cancelled Stock Options or SARs, other Awards or any other consideration provided by the Company. Notwithstanding any provision of the Plan to the contrary, this Section 17.3 may not be amended without approval by the stockholders of the Company. </w:t>
      </w:r>
    </w:p>
    <w:p>
      <w:pPr>
        <w:pStyle w:val="TextBody"/>
        <w:bidi w:val="0"/>
        <w:spacing w:before="240" w:after="0"/>
        <w:jc w:val="left"/>
        <w:rPr>
          <w:rFonts w:ascii="Arial" w:hAnsi="Arial"/>
          <w:b/>
          <w:sz w:val="22"/>
        </w:rPr>
      </w:pPr>
      <w:r>
        <w:rPr>
          <w:rFonts w:ascii="Arial" w:hAnsi="Arial"/>
          <w:b/>
          <w:sz w:val="22"/>
        </w:rPr>
        <w:t xml:space="preserve">Section 18. No Contract of Employment. </w:t>
      </w:r>
    </w:p>
    <w:p>
      <w:pPr>
        <w:pStyle w:val="TextBody"/>
        <w:bidi w:val="0"/>
        <w:spacing w:before="240" w:after="0"/>
        <w:jc w:val="both"/>
        <w:rPr>
          <w:rFonts w:ascii="Arial" w:hAnsi="Arial"/>
          <w:sz w:val="22"/>
        </w:rPr>
      </w:pPr>
      <w:r>
        <w:rPr>
          <w:rFonts w:ascii="Arial" w:hAnsi="Arial"/>
          <w:sz w:val="22"/>
        </w:rPr>
        <w:t xml:space="preserve">Neither the adoption of the Plan nor the grant of any Award under the Plan shall be deemed to obligate the Company or any Subsidiary to continue the employment of any Participant for any particular period, nor shall the granting of an Award constitute a request or consent to postpone the retirement date of any Participant. </w:t>
      </w:r>
    </w:p>
    <w:p>
      <w:pPr>
        <w:pStyle w:val="TextBody"/>
        <w:bidi w:val="0"/>
        <w:spacing w:before="240" w:after="0"/>
        <w:jc w:val="left"/>
        <w:rPr>
          <w:rFonts w:ascii="Arial" w:hAnsi="Arial"/>
          <w:b/>
          <w:sz w:val="22"/>
        </w:rPr>
      </w:pPr>
      <w:r>
        <w:rPr>
          <w:rFonts w:ascii="Arial" w:hAnsi="Arial"/>
          <w:b/>
          <w:sz w:val="22"/>
        </w:rPr>
        <w:t xml:space="preserve">Section 19. Applicable Law. </w:t>
      </w:r>
    </w:p>
    <w:p>
      <w:pPr>
        <w:pStyle w:val="TextBody"/>
        <w:bidi w:val="0"/>
        <w:spacing w:before="240" w:after="0"/>
        <w:jc w:val="both"/>
        <w:rPr>
          <w:rFonts w:ascii="Arial" w:hAnsi="Arial"/>
          <w:sz w:val="22"/>
        </w:rPr>
      </w:pPr>
      <w:r>
        <w:rPr>
          <w:rFonts w:ascii="Arial" w:hAnsi="Arial"/>
          <w:sz w:val="22"/>
        </w:rPr>
        <w:t xml:space="preserve">All questions pertaining to the validity, construction and administration of the Plan and all Awards granted under the Plan shall be determined in conformity with the laws of the State of Delaware, without regard to the conflict of law provisions of any state, and with the relevant provisions of the Code and regulations issued thereunder. Any suit, action or proceeding with respect to the Plan or any Award Agreement, or any judgment entered by any court of competent jurisdiction in respect of any thereof, shall be resolved only in the courts of the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State of Delaware or the United States District Court for the District of Delaware and the appellate courts having jurisdiction of appeals in such courts. In that context, and without limiting the generality of the foregoing, the Company and each Participant and beneficiary of a Participant shall irrevocably and unconditionally (a) submit in any proceeding relating to the Plan or any Award Agreement, or for the recognition and enforcement of any judgment in respect thereof (a “</w:t>
      </w:r>
      <w:r>
        <w:rPr>
          <w:rFonts w:ascii="Arial" w:hAnsi="Arial"/>
          <w:sz w:val="22"/>
          <w:u w:val="single"/>
        </w:rPr>
        <w:t>Proceeding</w:t>
      </w:r>
      <w:r>
        <w:rPr>
          <w:rFonts w:ascii="Arial" w:hAnsi="Arial"/>
          <w:sz w:val="22"/>
        </w:rPr>
        <w:t xml:space="preserve">”), to the exclusive jurisdiction of the courts of the State of Delaware, the court of the United States of America for the District of Delaware, and appellate courts having jurisdiction of appeals from any of the foregoing, and agree that all claims in respect of any such Proceeding shall be heard and determined in such Delaware State court or, to the extent permitted by law, in such federal court, (b) consent that any such Proceeding may and shall be brought in such courts and waives any objection that the Company and each Participant and beneficiary of a Participant may now or thereafter have to the venue or jurisdiction of any such Proceeding in any such court or that such Proceeding was brought in an inconvenient court and agree not to plead or claim the same, (c) waive all right to trial by jury in any Proceeding (whether based on contract, tort or otherwise) arising out of or relating to the Plan or any Award Agreement, (d) agree that service of process in any such Proceeding may be effected by mailing a copy of such process by registered or certified mail, postage prepaid, to such party, in the case of a Participant (or the Participant’s beneficiary) at the Participant’s (or the Participant’s beneficiary’s) address shown in the books and records of the Company or, in the case of the Company, at the Company’s principal offices, attention General Counsel, and (e) agree that nothing in the Plan shall affect the right to effect service of process in any other manner permitted by the laws of the State of Delaware. </w:t>
      </w:r>
    </w:p>
    <w:p>
      <w:pPr>
        <w:pStyle w:val="TextBody"/>
        <w:bidi w:val="0"/>
        <w:spacing w:before="240" w:after="0"/>
        <w:jc w:val="left"/>
        <w:rPr>
          <w:rFonts w:ascii="Arial" w:hAnsi="Arial"/>
          <w:b/>
          <w:sz w:val="22"/>
        </w:rPr>
      </w:pPr>
      <w:r>
        <w:rPr>
          <w:rFonts w:ascii="Arial" w:hAnsi="Arial"/>
          <w:b/>
          <w:sz w:val="22"/>
        </w:rPr>
        <w:t xml:space="preserve">Section 20. Effective Date and Term of Plan. </w:t>
      </w:r>
    </w:p>
    <w:p>
      <w:pPr>
        <w:pStyle w:val="TextBody"/>
        <w:bidi w:val="0"/>
        <w:spacing w:before="240" w:after="0"/>
        <w:jc w:val="both"/>
        <w:rPr>
          <w:rFonts w:ascii="Arial" w:hAnsi="Arial"/>
          <w:sz w:val="22"/>
        </w:rPr>
      </w:pPr>
      <w:r>
        <w:rPr>
          <w:rFonts w:ascii="Arial" w:hAnsi="Arial"/>
          <w:b/>
          <w:sz w:val="22"/>
        </w:rPr>
        <w:t>20.1</w:t>
      </w:r>
      <w:r>
        <w:rPr>
          <w:rFonts w:ascii="Arial" w:hAnsi="Arial"/>
          <w:sz w:val="22"/>
        </w:rPr>
        <w:t>  </w:t>
      </w:r>
      <w:r>
        <w:rPr>
          <w:rFonts w:ascii="Arial" w:hAnsi="Arial"/>
          <w:sz w:val="22"/>
          <w:u w:val="single"/>
        </w:rPr>
        <w:t>Effective Date</w:t>
      </w:r>
      <w:r>
        <w:rPr>
          <w:rFonts w:ascii="Arial" w:hAnsi="Arial"/>
          <w:sz w:val="22"/>
        </w:rPr>
        <w:t xml:space="preserve">. The Plan was adopted by the Board on February 9, 2026, and will be effective upon the approval of the Plan by the stockholders of the Company at the Company’s annual meeting of stockholders held on May 7, 2026, and any adjournment or postponement thereof. </w:t>
      </w:r>
    </w:p>
    <w:p>
      <w:pPr>
        <w:pStyle w:val="TextBody"/>
        <w:bidi w:val="0"/>
        <w:spacing w:before="240" w:after="0"/>
        <w:jc w:val="both"/>
        <w:rPr>
          <w:rFonts w:ascii="Arial" w:hAnsi="Arial"/>
          <w:sz w:val="22"/>
        </w:rPr>
      </w:pPr>
      <w:r>
        <w:rPr>
          <w:rFonts w:ascii="Arial" w:hAnsi="Arial"/>
          <w:b/>
          <w:sz w:val="22"/>
        </w:rPr>
        <w:t>20.2</w:t>
      </w:r>
      <w:r>
        <w:rPr>
          <w:rFonts w:ascii="Arial" w:hAnsi="Arial"/>
          <w:sz w:val="22"/>
        </w:rPr>
        <w:t>  </w:t>
      </w:r>
      <w:r>
        <w:rPr>
          <w:rFonts w:ascii="Arial" w:hAnsi="Arial"/>
          <w:sz w:val="22"/>
          <w:u w:val="single"/>
        </w:rPr>
        <w:t>Term of Plan</w:t>
      </w:r>
      <w:r>
        <w:rPr>
          <w:rFonts w:ascii="Arial" w:hAnsi="Arial"/>
          <w:sz w:val="22"/>
        </w:rPr>
        <w:t xml:space="preserve">. Notwithstanding anything to the contrary contained herein, no Awards shall be granted on or after the ten (10) year anniversary of the Plan’s Effective Date; however, any Award theretofore granted may extend beyond such date. </w:t>
      </w:r>
    </w:p>
    <w:p>
      <w:pPr>
        <w:pStyle w:val="TextBody"/>
        <w:bidi w:val="0"/>
        <w:spacing w:before="240" w:after="0"/>
        <w:jc w:val="left"/>
        <w:rPr>
          <w:rFonts w:ascii="Arial" w:hAnsi="Arial"/>
          <w:b/>
          <w:sz w:val="22"/>
        </w:rPr>
      </w:pPr>
      <w:r>
        <w:rPr>
          <w:rFonts w:ascii="Arial" w:hAnsi="Arial"/>
          <w:b/>
          <w:sz w:val="22"/>
        </w:rPr>
        <w:t xml:space="preserve">Section 21. Incentive Compensation Recoupment Policy. </w:t>
      </w:r>
    </w:p>
    <w:p>
      <w:pPr>
        <w:pStyle w:val="TextBody"/>
        <w:bidi w:val="0"/>
        <w:spacing w:before="240" w:after="0"/>
        <w:jc w:val="both"/>
        <w:rPr>
          <w:rFonts w:ascii="Arial" w:hAnsi="Arial"/>
          <w:sz w:val="22"/>
        </w:rPr>
      </w:pPr>
      <w:r>
        <w:rPr>
          <w:rFonts w:ascii="Arial" w:hAnsi="Arial"/>
          <w:sz w:val="22"/>
        </w:rPr>
        <w:t xml:space="preserve">Notwithstanding any provision in the Plan or in any Award Agreement to the contrary, the Plan and all Awards issued thereunder shall be subject to, as applicable, the Company’s Executive Compensation Recoupment Policy, as it may be amended from time to time, or any other compensation recovery and/or recoupment policy adopted and amended from time to time by the Company to comply with applicable law, including, without limitation, the Dodd-Frank Wall Street Reform and Consumer Protection Act, or to comport with good corporate governance practices. </w:t>
      </w:r>
    </w:p>
    <w:p>
      <w:pPr>
        <w:pStyle w:val="TextBody"/>
        <w:bidi w:val="0"/>
        <w:spacing w:before="240" w:after="0"/>
        <w:jc w:val="left"/>
        <w:rPr>
          <w:rFonts w:ascii="Arial" w:hAnsi="Arial"/>
          <w:b/>
          <w:sz w:val="22"/>
        </w:rPr>
      </w:pPr>
      <w:r>
        <w:rPr>
          <w:rFonts w:ascii="Arial" w:hAnsi="Arial"/>
          <w:b/>
          <w:sz w:val="22"/>
        </w:rPr>
        <w:t xml:space="preserve">Section 22. Miscellaneous. </w:t>
      </w:r>
    </w:p>
    <w:p>
      <w:pPr>
        <w:pStyle w:val="TextBody"/>
        <w:bidi w:val="0"/>
        <w:spacing w:before="240" w:after="0"/>
        <w:jc w:val="both"/>
        <w:rPr>
          <w:rFonts w:ascii="Arial" w:hAnsi="Arial"/>
          <w:sz w:val="22"/>
        </w:rPr>
      </w:pPr>
      <w:r>
        <w:rPr>
          <w:rFonts w:ascii="Arial" w:hAnsi="Arial"/>
          <w:b/>
          <w:sz w:val="22"/>
        </w:rPr>
        <w:t>22.1</w:t>
      </w:r>
      <w:r>
        <w:rPr>
          <w:rFonts w:ascii="Arial" w:hAnsi="Arial"/>
          <w:sz w:val="22"/>
        </w:rPr>
        <w:t>  </w:t>
      </w:r>
      <w:r>
        <w:rPr>
          <w:rFonts w:ascii="Arial" w:hAnsi="Arial"/>
          <w:sz w:val="22"/>
          <w:u w:val="single"/>
        </w:rPr>
        <w:t>Unfunded Plan</w:t>
      </w:r>
      <w:r>
        <w:rPr>
          <w:rFonts w:ascii="Arial" w:hAnsi="Arial"/>
          <w:sz w:val="22"/>
        </w:rPr>
        <w:t xml:space="preserve">. The Plan is intended to constitute an “unfunded” plan for incentive and deferred compensation. With respect to any payment as to which a Participant (or a Participant’s beneficiary) has a fixed and vested interest but which is not yet made to a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Participant (or a Participant’s beneficiary) by the Company, nothing contained herein shall give any such Participant (or such Participant’s beneficiary) any right that is greater than those of a general unsecured creditor of the Company. </w:t>
      </w:r>
    </w:p>
    <w:p>
      <w:pPr>
        <w:pStyle w:val="TextBody"/>
        <w:bidi w:val="0"/>
        <w:spacing w:before="240" w:after="0"/>
        <w:jc w:val="both"/>
        <w:rPr>
          <w:rFonts w:ascii="Arial" w:hAnsi="Arial"/>
          <w:sz w:val="22"/>
        </w:rPr>
      </w:pPr>
      <w:r>
        <w:rPr>
          <w:rFonts w:ascii="Arial" w:hAnsi="Arial"/>
          <w:b/>
          <w:sz w:val="22"/>
        </w:rPr>
        <w:t>22.2</w:t>
      </w:r>
      <w:r>
        <w:rPr>
          <w:rFonts w:ascii="Arial" w:hAnsi="Arial"/>
          <w:sz w:val="22"/>
        </w:rPr>
        <w:t>  </w:t>
      </w:r>
      <w:r>
        <w:rPr>
          <w:rFonts w:ascii="Arial" w:hAnsi="Arial"/>
          <w:sz w:val="22"/>
          <w:u w:val="single"/>
        </w:rPr>
        <w:t>No Uniformity; No Future Rights</w:t>
      </w:r>
      <w:r>
        <w:rPr>
          <w:rFonts w:ascii="Arial" w:hAnsi="Arial"/>
          <w:sz w:val="22"/>
        </w:rPr>
        <w:t xml:space="preserve">. No Employee, Participant or other person shall have any claim to be granted any Award under the Plan, and there is no obligation for uniformity or treatment of Employees, Participants, or holders or beneficiaries of Awards under the Plan. The terms and conditions of Awards need not be the same with respect to each recipient. Any Award granted under the Plan shall be a one-time Award, and shall not constitute a promise of future grants. The Committee, in its sole discretion, maintains the right to make available future Awards hereunder. </w:t>
      </w:r>
    </w:p>
    <w:p>
      <w:pPr>
        <w:pStyle w:val="TextBody"/>
        <w:bidi w:val="0"/>
        <w:spacing w:before="240" w:after="0"/>
        <w:jc w:val="both"/>
        <w:rPr>
          <w:rFonts w:ascii="Arial" w:hAnsi="Arial"/>
          <w:sz w:val="22"/>
        </w:rPr>
      </w:pPr>
      <w:r>
        <w:rPr>
          <w:rFonts w:ascii="Arial" w:hAnsi="Arial"/>
          <w:b/>
          <w:sz w:val="22"/>
        </w:rPr>
        <w:t>22.3</w:t>
      </w:r>
      <w:r>
        <w:rPr>
          <w:rFonts w:ascii="Arial" w:hAnsi="Arial"/>
          <w:sz w:val="22"/>
        </w:rPr>
        <w:t>  </w:t>
      </w:r>
      <w:r>
        <w:rPr>
          <w:rFonts w:ascii="Arial" w:hAnsi="Arial"/>
          <w:sz w:val="22"/>
          <w:u w:val="single"/>
        </w:rPr>
        <w:t>No Trust</w:t>
      </w:r>
      <w:r>
        <w:rPr>
          <w:rFonts w:ascii="Arial" w:hAnsi="Arial"/>
          <w:sz w:val="22"/>
        </w:rPr>
        <w:t xml:space="preserve">. Neither the Plan nor any Award shall create or be construed to create a trust or separate fund of any kind or a fiduciary relationship between the Company, the Board, the Committee and a Participant or any other person. </w:t>
      </w:r>
    </w:p>
    <w:p>
      <w:pPr>
        <w:pStyle w:val="TextBody"/>
        <w:bidi w:val="0"/>
        <w:spacing w:before="240" w:after="0"/>
        <w:jc w:val="both"/>
        <w:rPr>
          <w:rFonts w:ascii="Arial" w:hAnsi="Arial"/>
          <w:sz w:val="22"/>
        </w:rPr>
      </w:pPr>
      <w:r>
        <w:rPr>
          <w:rFonts w:ascii="Arial" w:hAnsi="Arial"/>
          <w:b/>
          <w:sz w:val="22"/>
        </w:rPr>
        <w:t>22.4</w:t>
      </w:r>
      <w:r>
        <w:rPr>
          <w:rFonts w:ascii="Arial" w:hAnsi="Arial"/>
          <w:sz w:val="22"/>
        </w:rPr>
        <w:t>  </w:t>
      </w:r>
      <w:r>
        <w:rPr>
          <w:rFonts w:ascii="Arial" w:hAnsi="Arial"/>
          <w:sz w:val="22"/>
          <w:u w:val="single"/>
        </w:rPr>
        <w:t>Fractional Shares</w:t>
      </w:r>
      <w:r>
        <w:rPr>
          <w:rFonts w:ascii="Arial" w:hAnsi="Arial"/>
          <w:sz w:val="22"/>
        </w:rPr>
        <w:t xml:space="preserve">. No fractional shares of Common Stock shall be issued or delivered pursuant to the Plan or any Award, and the Committee shall determine whether cash or other securities shall be paid or transferred in lieu of any fractional shares of Common Stock, or whether such fractional shares of Common Stock or any rights thereto shall be canceled, terminated or otherwise eliminated. </w:t>
      </w:r>
    </w:p>
    <w:p>
      <w:pPr>
        <w:pStyle w:val="TextBody"/>
        <w:bidi w:val="0"/>
        <w:spacing w:before="240" w:after="0"/>
        <w:jc w:val="both"/>
        <w:rPr>
          <w:rFonts w:ascii="Arial" w:hAnsi="Arial"/>
          <w:sz w:val="22"/>
        </w:rPr>
      </w:pPr>
      <w:r>
        <w:rPr>
          <w:rFonts w:ascii="Arial" w:hAnsi="Arial"/>
          <w:b/>
          <w:sz w:val="22"/>
        </w:rPr>
        <w:t>22.5</w:t>
      </w:r>
      <w:r>
        <w:rPr>
          <w:rFonts w:ascii="Arial" w:hAnsi="Arial"/>
          <w:sz w:val="22"/>
        </w:rPr>
        <w:t>  </w:t>
      </w:r>
      <w:r>
        <w:rPr>
          <w:rFonts w:ascii="Arial" w:hAnsi="Arial"/>
          <w:sz w:val="22"/>
          <w:u w:val="single"/>
        </w:rPr>
        <w:t>Section 409A</w:t>
      </w:r>
      <w:r>
        <w:rPr>
          <w:rFonts w:ascii="Arial" w:hAnsi="Arial"/>
          <w:sz w:val="22"/>
        </w:rPr>
        <w:t xml:space="preserve">. Notwithstanding any contrary provision in the Plan or Award Agreement, (i) any payment(s) of “nonqualified deferred compensation” (within the meaning of Section 409A) that is/are otherwise required to be made under the Plan to a “specified employee” (as defined under Section 409A) as a result of such employee’s separation from service (other than a payment that is not subject to Section 409A) shall be delayed for the first six (6) months following such separation from service (or, if earlier, the date of death of the specified employee) and shall instead be paid (in a manner set forth in the Award Agreement) upon expiration of such six (6) month delay period; and (ii) for purposes of an Award that is subject to Section 409A, if a Participant’s termination of employment or service triggers the payment of “nonqualified deferred compensation” under such Award, then the Participant will not be deemed to have terminated employment or service until the Participant incurs a “separation from service” within the meaning of Section 409A. </w:t>
      </w:r>
    </w:p>
    <w:p>
      <w:pPr>
        <w:pStyle w:val="TextBody"/>
        <w:bidi w:val="0"/>
        <w:spacing w:before="240" w:after="0"/>
        <w:jc w:val="both"/>
        <w:rPr>
          <w:rFonts w:ascii="Arial" w:hAnsi="Arial"/>
          <w:sz w:val="22"/>
        </w:rPr>
      </w:pPr>
      <w:r>
        <w:rPr>
          <w:rFonts w:ascii="Arial" w:hAnsi="Arial"/>
          <w:b/>
          <w:sz w:val="22"/>
        </w:rPr>
        <w:t>22.6</w:t>
      </w:r>
      <w:r>
        <w:rPr>
          <w:rFonts w:ascii="Arial" w:hAnsi="Arial"/>
          <w:sz w:val="22"/>
        </w:rPr>
        <w:t>  </w:t>
      </w:r>
      <w:r>
        <w:rPr>
          <w:rFonts w:ascii="Arial" w:hAnsi="Arial"/>
          <w:sz w:val="22"/>
          <w:u w:val="single"/>
        </w:rPr>
        <w:t>Other Acknowledgments</w:t>
      </w:r>
      <w:r>
        <w:rPr>
          <w:rFonts w:ascii="Arial" w:hAnsi="Arial"/>
          <w:sz w:val="22"/>
        </w:rPr>
        <w:t xml:space="preserve">. If any provision of the Plan is or becomes invalid or unenforceable in any jurisdiction, or would disqualify the Plan or any award under any law deemed applicable by the Committee, such provision will be construed or deemed amended or limited in scope to conform to applicable laws or, in the discretion of the Committee, it will be stricken and the remainder of the Plan will remain in full force and effect. Notwithstanding anything in the Plan or an Award Agreement to the contrary, nothing in the Plan or in an Award Agreement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A-22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810500" cy="101060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Times New Roman" w:hAnsi="Times New Roman"/>
          <w:sz w:val="2"/>
        </w:rPr>
      </w:pPr>
      <w:r>
        <w:rPr>
          <w:rFonts w:ascii="Times New Roman" w:hAnsi="Times New Roman"/>
          <w:color w:val="FFFFFF"/>
          <w:sz w:val="2"/>
        </w:rPr>
        <w:t xml:space="preserve">NEWELL BRANDS INC. </w:t>
      </w:r>
      <w:r>
        <w:rPr>
          <w:rFonts w:ascii="Times New Roman" w:hAnsi="Times New Roman"/>
          <w:sz w:val="2"/>
        </w:rPr>
        <w:br/>
      </w:r>
      <w:r>
        <w:rPr>
          <w:rFonts w:ascii="Times New Roman" w:hAnsi="Times New Roman"/>
          <w:color w:val="FFFFFF"/>
          <w:sz w:val="2"/>
        </w:rPr>
        <w:t xml:space="preserve">5 CONCOURSE PARKWAY, NE </w:t>
      </w:r>
      <w:r>
        <w:rPr>
          <w:rFonts w:ascii="Times New Roman" w:hAnsi="Times New Roman"/>
          <w:sz w:val="2"/>
        </w:rPr>
        <w:br/>
      </w:r>
      <w:r>
        <w:rPr>
          <w:rFonts w:ascii="Times New Roman" w:hAnsi="Times New Roman"/>
          <w:color w:val="FFFFFF"/>
          <w:sz w:val="2"/>
        </w:rPr>
        <w:t xml:space="preserve">8TH FLOOR </w:t>
      </w:r>
      <w:r>
        <w:rPr>
          <w:rFonts w:ascii="Times New Roman" w:hAnsi="Times New Roman"/>
          <w:sz w:val="2"/>
        </w:rPr>
        <w:br/>
      </w:r>
      <w:r>
        <w:rPr>
          <w:rFonts w:ascii="Times New Roman" w:hAnsi="Times New Roman"/>
          <w:color w:val="FFFFFF"/>
          <w:sz w:val="2"/>
        </w:rPr>
        <w:t xml:space="preserve">ATLANTA, GA 30328 </w:t>
      </w:r>
      <w:r>
        <w:rPr>
          <w:rFonts w:ascii="Times New Roman" w:hAnsi="Times New Roman"/>
          <w:sz w:val="2"/>
        </w:rPr>
        <w:br/>
      </w:r>
      <w:r>
        <w:rPr>
          <w:rFonts w:ascii="Times New Roman" w:hAnsi="Times New Roman"/>
          <w:color w:val="FFFFFF"/>
          <w:sz w:val="2"/>
        </w:rPr>
        <w:t xml:space="preserve">SCAN TO </w:t>
      </w:r>
      <w:r>
        <w:rPr>
          <w:rFonts w:ascii="Times New Roman" w:hAnsi="Times New Roman"/>
          <w:sz w:val="2"/>
        </w:rPr>
        <w:br/>
      </w:r>
      <w:r>
        <w:rPr>
          <w:rFonts w:ascii="Times New Roman" w:hAnsi="Times New Roman"/>
          <w:color w:val="FFFFFF"/>
          <w:sz w:val="2"/>
        </w:rPr>
        <w:t xml:space="preserve">VIEW MATERIALS &amp; VOTE w </w:t>
      </w:r>
      <w:r>
        <w:rPr>
          <w:rFonts w:ascii="Times New Roman" w:hAnsi="Times New Roman"/>
          <w:sz w:val="2"/>
        </w:rPr>
        <w:br/>
      </w:r>
      <w:r>
        <w:rPr>
          <w:rFonts w:ascii="Times New Roman" w:hAnsi="Times New Roman"/>
          <w:color w:val="FFFFFF"/>
          <w:sz w:val="2"/>
        </w:rPr>
        <w:t xml:space="preserve">VOTE BY INTERNET—www.proxyvote.com or scan the QR Barcode above </w:t>
      </w:r>
      <w:r>
        <w:rPr>
          <w:rFonts w:ascii="Times New Roman" w:hAnsi="Times New Roman"/>
          <w:sz w:val="2"/>
        </w:rPr>
        <w:br/>
      </w:r>
      <w:r>
        <w:rPr>
          <w:rFonts w:ascii="Times New Roman" w:hAnsi="Times New Roman"/>
          <w:color w:val="FFFFFF"/>
          <w:sz w:val="2"/>
        </w:rPr>
        <w:t xml:space="preserve">Use the Internet to transmit your voting instructions and for electronic delivery of information up until 11:59 p.m. Eastern Time the day before the meeting date. Vote by 11:59 p.m. Eastern Time on May 4, 2026 for shares held in a Plan. Have your proxy card in hand when you access the web site and follow the instructions to obtain your records and to create an electronic voting instruction form. </w:t>
      </w:r>
      <w:r>
        <w:rPr>
          <w:rFonts w:ascii="Times New Roman" w:hAnsi="Times New Roman"/>
          <w:sz w:val="2"/>
        </w:rPr>
        <w:br/>
      </w:r>
      <w:r>
        <w:rPr>
          <w:rFonts w:ascii="Times New Roman" w:hAnsi="Times New Roman"/>
          <w:color w:val="FFFFFF"/>
          <w:sz w:val="2"/>
        </w:rPr>
        <w:t xml:space="preserve">ELECTRONIC DELIVERY OF FUTURE PROXY MATERIALS </w:t>
      </w:r>
      <w:r>
        <w:rPr>
          <w:rFonts w:ascii="Times New Roman" w:hAnsi="Times New Roman"/>
          <w:sz w:val="2"/>
        </w:rPr>
        <w:br/>
      </w:r>
      <w:r>
        <w:rPr>
          <w:rFonts w:ascii="Times New Roman" w:hAnsi="Times New Roman"/>
          <w:color w:val="FFFFFF"/>
          <w:sz w:val="2"/>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w:t>
      </w:r>
      <w:r>
        <w:rPr>
          <w:rFonts w:ascii="Times New Roman" w:hAnsi="Times New Roman"/>
          <w:sz w:val="2"/>
        </w:rPr>
        <w:br/>
      </w:r>
      <w:r>
        <w:rPr>
          <w:rFonts w:ascii="Times New Roman" w:hAnsi="Times New Roman"/>
          <w:color w:val="FFFFFF"/>
          <w:sz w:val="2"/>
        </w:rPr>
        <w:t xml:space="preserve">VOTE BY PHONE—1-800-690-6903 </w:t>
      </w:r>
      <w:r>
        <w:rPr>
          <w:rFonts w:ascii="Times New Roman" w:hAnsi="Times New Roman"/>
          <w:sz w:val="2"/>
        </w:rPr>
        <w:br/>
      </w:r>
      <w:r>
        <w:rPr>
          <w:rFonts w:ascii="Times New Roman" w:hAnsi="Times New Roman"/>
          <w:color w:val="FFFFFF"/>
          <w:sz w:val="2"/>
        </w:rPr>
        <w:t xml:space="preserve">Use any touch-tone telephone to transmit your voting instructions up until 11:59 p.m. Eastern Time the day before the meeting date. Vote by 11:59 p.m. Eastern Time on May 4, 2026 for shares held in a Plan. Have your proxy card in hand when you call and then follow the instructions. </w:t>
      </w:r>
      <w:r>
        <w:rPr>
          <w:rFonts w:ascii="Times New Roman" w:hAnsi="Times New Roman"/>
          <w:sz w:val="2"/>
        </w:rPr>
        <w:br/>
      </w:r>
      <w:r>
        <w:rPr>
          <w:rFonts w:ascii="Times New Roman" w:hAnsi="Times New Roman"/>
          <w:color w:val="FFFFFF"/>
          <w:sz w:val="2"/>
        </w:rPr>
        <w:t xml:space="preserve">VOTE BY MAIL </w:t>
      </w:r>
      <w:r>
        <w:rPr>
          <w:rFonts w:ascii="Times New Roman" w:hAnsi="Times New Roman"/>
          <w:sz w:val="2"/>
        </w:rPr>
        <w:br/>
      </w:r>
      <w:r>
        <w:rPr>
          <w:rFonts w:ascii="Times New Roman" w:hAnsi="Times New Roman"/>
          <w:color w:val="FFFFFF"/>
          <w:sz w:val="2"/>
        </w:rPr>
        <w:t xml:space="preserve">Mark, sign and date your proxy card and return it in the postage-paid envelope we have provided or return it to Vote Processing, c/o Broadridge, 51 Mercedes Way, Edgewood, NY 11717. </w:t>
      </w:r>
      <w:r>
        <w:rPr>
          <w:rFonts w:ascii="Times New Roman" w:hAnsi="Times New Roman"/>
          <w:sz w:val="2"/>
        </w:rPr>
        <w:br/>
      </w:r>
      <w:r>
        <w:rPr>
          <w:rFonts w:ascii="Times New Roman" w:hAnsi="Times New Roman"/>
          <w:color w:val="FFFFFF"/>
          <w:sz w:val="2"/>
        </w:rPr>
        <w:t xml:space="preserve">TO VOTE, MARK BLOCKS BELOW IN BLUE OR BLACK INK AS FOLLOWS: </w:t>
      </w:r>
      <w:r>
        <w:rPr>
          <w:rFonts w:ascii="Times New Roman" w:hAnsi="Times New Roman"/>
          <w:sz w:val="2"/>
        </w:rPr>
        <w:br/>
      </w:r>
      <w:r>
        <w:rPr>
          <w:rFonts w:ascii="Times New Roman" w:hAnsi="Times New Roman"/>
          <w:color w:val="FFFFFF"/>
          <w:sz w:val="2"/>
        </w:rPr>
        <w:t xml:space="preserve">V87268-P45418 KEEP THIS PORTION FOR YOUR RECORDS </w:t>
      </w:r>
      <w:r>
        <w:rPr>
          <w:rFonts w:ascii="Times New Roman" w:hAnsi="Times New Roman"/>
          <w:sz w:val="2"/>
        </w:rPr>
        <w:br/>
      </w:r>
      <w:r>
        <w:rPr>
          <w:rFonts w:ascii="Times New Roman" w:hAnsi="Times New Roman"/>
          <w:color w:val="FFFFFF"/>
          <w:sz w:val="2"/>
        </w:rPr>
        <w:t xml:space="preserve">THIS PROXY CARD IS VALID ONLY WHEN SIGNED AND DATED. DETACH AND RETURN THIS PORTION ONLY </w:t>
      </w:r>
      <w:r>
        <w:rPr>
          <w:rFonts w:ascii="Times New Roman" w:hAnsi="Times New Roman"/>
          <w:sz w:val="2"/>
        </w:rPr>
        <w:br/>
      </w:r>
      <w:r>
        <w:rPr>
          <w:rFonts w:ascii="Times New Roman" w:hAnsi="Times New Roman"/>
          <w:color w:val="FFFFFF"/>
          <w:sz w:val="2"/>
        </w:rPr>
        <w:t xml:space="preserve">NEWELL BRANDS INC. </w:t>
      </w:r>
      <w:r>
        <w:rPr>
          <w:rFonts w:ascii="Times New Roman" w:hAnsi="Times New Roman"/>
          <w:sz w:val="2"/>
        </w:rPr>
        <w:br/>
      </w:r>
      <w:r>
        <w:rPr>
          <w:rFonts w:ascii="Times New Roman" w:hAnsi="Times New Roman"/>
          <w:color w:val="FFFFFF"/>
          <w:sz w:val="2"/>
        </w:rPr>
        <w:t xml:space="preserve">1. Election of Directors – The Board of Directors recommends you vote FOR the Nominees listed below: For Against Abstain </w:t>
      </w:r>
      <w:r>
        <w:rPr>
          <w:rFonts w:ascii="Times New Roman" w:hAnsi="Times New Roman"/>
          <w:sz w:val="2"/>
        </w:rPr>
        <w:br/>
      </w:r>
      <w:r>
        <w:rPr>
          <w:rFonts w:ascii="Times New Roman" w:hAnsi="Times New Roman"/>
          <w:color w:val="FFFFFF"/>
          <w:sz w:val="2"/>
        </w:rPr>
        <w:t xml:space="preserve">1a. Bridget Ryan Berman 1b. Patrick D. Campbell 1c. James P. Keane 1d. Gerardo I. Lopez 1e. Christopher H. Peterson 1f. Gary H. Pilnick 1g. Stephanie P. Stahl 1h. Anthony Terry </w:t>
      </w:r>
      <w:r>
        <w:rPr>
          <w:rFonts w:ascii="Times New Roman" w:hAnsi="Times New Roman"/>
          <w:sz w:val="2"/>
        </w:rPr>
        <w:br/>
      </w:r>
      <w:r>
        <w:rPr>
          <w:rFonts w:ascii="Times New Roman" w:hAnsi="Times New Roman"/>
          <w:color w:val="FFFFFF"/>
          <w:sz w:val="2"/>
        </w:rPr>
        <w:t xml:space="preserve">Proposals – The Board of Directors recommends you vote </w:t>
      </w:r>
      <w:r>
        <w:rPr>
          <w:rFonts w:ascii="Times New Roman" w:hAnsi="Times New Roman"/>
          <w:sz w:val="2"/>
        </w:rPr>
        <w:br/>
      </w:r>
      <w:r>
        <w:rPr>
          <w:rFonts w:ascii="Times New Roman" w:hAnsi="Times New Roman"/>
          <w:color w:val="FFFFFF"/>
          <w:sz w:val="2"/>
        </w:rPr>
        <w:t xml:space="preserve">FOR Proposals 2 through 4: For Against Abstain </w:t>
      </w:r>
      <w:r>
        <w:rPr>
          <w:rFonts w:ascii="Times New Roman" w:hAnsi="Times New Roman"/>
          <w:sz w:val="2"/>
        </w:rPr>
        <w:br/>
      </w:r>
      <w:r>
        <w:rPr>
          <w:rFonts w:ascii="Times New Roman" w:hAnsi="Times New Roman"/>
          <w:color w:val="FFFFFF"/>
          <w:sz w:val="2"/>
        </w:rPr>
        <w:t xml:space="preserve">2. Approve the appointment of PricewaterhouseCoopers LLP as the Company’s independent registered public accounting firm for the fiscal year ending December 31, 2026. </w:t>
      </w:r>
      <w:r>
        <w:rPr>
          <w:rFonts w:ascii="Times New Roman" w:hAnsi="Times New Roman"/>
          <w:sz w:val="2"/>
        </w:rPr>
        <w:br/>
      </w:r>
      <w:r>
        <w:rPr>
          <w:rFonts w:ascii="Times New Roman" w:hAnsi="Times New Roman"/>
          <w:color w:val="FFFFFF"/>
          <w:sz w:val="2"/>
        </w:rPr>
        <w:t xml:space="preserve">3. Approve an advisory resolution on named executive officer compensation. </w:t>
      </w:r>
      <w:r>
        <w:rPr>
          <w:rFonts w:ascii="Times New Roman" w:hAnsi="Times New Roman"/>
          <w:sz w:val="2"/>
        </w:rPr>
        <w:br/>
      </w:r>
      <w:r>
        <w:rPr>
          <w:rFonts w:ascii="Times New Roman" w:hAnsi="Times New Roman"/>
          <w:color w:val="FFFFFF"/>
          <w:sz w:val="2"/>
        </w:rPr>
        <w:t xml:space="preserve">4. Approve the Newell Brands Inc. 2026 Incentive Plan. </w:t>
      </w:r>
      <w:r>
        <w:rPr>
          <w:rFonts w:ascii="Times New Roman" w:hAnsi="Times New Roman"/>
          <w:sz w:val="2"/>
        </w:rPr>
        <w:br/>
      </w:r>
      <w:r>
        <w:rPr>
          <w:rFonts w:ascii="Times New Roman" w:hAnsi="Times New Roman"/>
          <w:color w:val="FFFFFF"/>
          <w:sz w:val="2"/>
        </w:rPr>
        <w:t xml:space="preserve">NOTE: To transact such other business as may properly come before the Annual Meeting or any adjournment or postponement of the Annual Meeting. </w:t>
      </w:r>
      <w:r>
        <w:rPr>
          <w:rFonts w:ascii="Times New Roman" w:hAnsi="Times New Roman"/>
          <w:sz w:val="2"/>
        </w:rPr>
        <w:br/>
      </w:r>
      <w:r>
        <w:rPr>
          <w:rFonts w:ascii="Times New Roman" w:hAnsi="Times New Roman"/>
          <w:color w:val="FFFFFF"/>
          <w:sz w:val="2"/>
        </w:rPr>
        <w:t xml:space="preserve">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r>
      <w:r>
        <w:rPr>
          <w:rFonts w:ascii="Times New Roman" w:hAnsi="Times New Roman"/>
          <w:sz w:val="2"/>
        </w:rPr>
        <w:br/>
      </w:r>
      <w:r>
        <w:rPr>
          <w:rFonts w:ascii="Times New Roman" w:hAnsi="Times New Roman"/>
          <w:color w:val="FFFFFF"/>
          <w:sz w:val="2"/>
        </w:rPr>
        <w:t xml:space="preserve">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810500" cy="101060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left"/>
        <w:rPr>
          <w:rFonts w:ascii="Times New Roman" w:hAnsi="Times New Roman"/>
          <w:sz w:val="2"/>
        </w:rPr>
      </w:pPr>
      <w:r>
        <w:rPr>
          <w:rFonts w:ascii="Times New Roman" w:hAnsi="Times New Roman"/>
          <w:color w:val="FFFFFF"/>
          <w:sz w:val="2"/>
        </w:rPr>
        <w:t xml:space="preserve">Important Notice Regarding the Availability of Proxy Materials for the Newell Brands Annual Meeting: </w:t>
      </w:r>
      <w:r>
        <w:rPr>
          <w:rFonts w:ascii="Times New Roman" w:hAnsi="Times New Roman"/>
          <w:sz w:val="2"/>
        </w:rPr>
        <w:br/>
      </w:r>
      <w:r>
        <w:rPr>
          <w:rFonts w:ascii="Times New Roman" w:hAnsi="Times New Roman"/>
          <w:color w:val="FFFFFF"/>
          <w:sz w:val="2"/>
        </w:rPr>
        <w:t xml:space="preserve">The Notice and Proxy Statement and Annual Report are available at www.proxyvote.com. </w:t>
      </w:r>
      <w:r>
        <w:rPr>
          <w:rFonts w:ascii="Times New Roman" w:hAnsi="Times New Roman"/>
          <w:sz w:val="2"/>
        </w:rPr>
        <w:br/>
      </w:r>
      <w:r>
        <w:rPr>
          <w:rFonts w:ascii="Times New Roman" w:hAnsi="Times New Roman"/>
          <w:color w:val="FFFFFF"/>
          <w:sz w:val="2"/>
        </w:rPr>
        <w:t xml:space="preserve">V87269-P45418 </w:t>
      </w:r>
      <w:r>
        <w:rPr>
          <w:rFonts w:ascii="Times New Roman" w:hAnsi="Times New Roman"/>
          <w:sz w:val="2"/>
        </w:rPr>
        <w:br/>
      </w:r>
      <w:r>
        <w:rPr>
          <w:rFonts w:ascii="Times New Roman" w:hAnsi="Times New Roman"/>
          <w:color w:val="FFFFFF"/>
          <w:sz w:val="2"/>
        </w:rPr>
        <w:t xml:space="preserve">Proxy Solicited by the Board of Directors for the Annual Meeting of Stockholders of Newell Brands Inc. to be held May 7, 2026. </w:t>
      </w:r>
      <w:r>
        <w:rPr>
          <w:rFonts w:ascii="Times New Roman" w:hAnsi="Times New Roman"/>
          <w:sz w:val="2"/>
        </w:rPr>
        <w:br/>
      </w:r>
      <w:r>
        <w:rPr>
          <w:rFonts w:ascii="Times New Roman" w:hAnsi="Times New Roman"/>
          <w:color w:val="FFFFFF"/>
          <w:sz w:val="2"/>
        </w:rPr>
        <w:t xml:space="preserve">The undersigned hereby appoints Bradford R. Turner and Brian J. Decker as proxies, each with the powers the undersigned would possess if personally present, and with full power of substitution, to vote at the Annual Meeting of Stockholders of NEWELL BRANDS INC. to be held May 7, 2026, and at any adjournments or postponements thereof, on each of the proposals listed on the reverse side. </w:t>
      </w:r>
      <w:r>
        <w:rPr>
          <w:rFonts w:ascii="Times New Roman" w:hAnsi="Times New Roman"/>
          <w:sz w:val="2"/>
        </w:rPr>
        <w:br/>
      </w:r>
      <w:r>
        <w:rPr>
          <w:rFonts w:ascii="Times New Roman" w:hAnsi="Times New Roman"/>
          <w:color w:val="FFFFFF"/>
          <w:sz w:val="2"/>
        </w:rPr>
        <w:t xml:space="preserve">This proxy revokes all previous proxies. The proxies named above are authorized to vote in their discretion with respect to any other matters that may properly come before the Newell Brands Annual Meeting or any adjournment or postponement of the Newell Brands Annual Meeting. </w:t>
      </w:r>
      <w:r>
        <w:rPr>
          <w:rFonts w:ascii="Times New Roman" w:hAnsi="Times New Roman"/>
          <w:sz w:val="2"/>
        </w:rPr>
        <w:br/>
      </w:r>
      <w:r>
        <w:rPr>
          <w:rFonts w:ascii="Times New Roman" w:hAnsi="Times New Roman"/>
          <w:color w:val="FFFFFF"/>
          <w:sz w:val="2"/>
        </w:rPr>
        <w:t xml:space="preserve">You are encouraged to specify your choices by marking the appropriate boxes, SEE REVERSE SIDE, but you need not mark any boxes if you wish to vote in accordance with the Board of Directors’ recommendations. It is important that these shares are represented at the Newell Brands Annual Meeting, whether or not you plan to attend the Newell Brands Annual Meeting in person. To make sure that these shares are represented, we encourage you to sign, date and return this card, or vote these shares by using either of the electronic means described on the reverse side. </w:t>
      </w:r>
      <w:r>
        <w:rPr>
          <w:rFonts w:ascii="Times New Roman" w:hAnsi="Times New Roman"/>
          <w:sz w:val="2"/>
        </w:rPr>
        <w:br/>
      </w:r>
      <w:r>
        <w:rPr>
          <w:rFonts w:ascii="Times New Roman" w:hAnsi="Times New Roman"/>
          <w:color w:val="FFFFFF"/>
          <w:sz w:val="2"/>
        </w:rPr>
        <w:t xml:space="preserve">When this Proxy is properly executed, the shares to which it relates will be voted in the manner directed herein. If no direction is made, the shares will be voted FOR the election of all director candidates nominated by the Board of Directors and FOR proposals (2), (3) and (4), each as set forth on the reverse side, and in the discretion of the persons named as proxy with respect to any other matters that may properly come before the Newell Brands Annual Meeting or any adjournment or postponement of the Newell Brands Annual Meeting. </w:t>
      </w:r>
      <w:r>
        <w:rPr>
          <w:rFonts w:ascii="Times New Roman" w:hAnsi="Times New Roman"/>
          <w:sz w:val="2"/>
        </w:rPr>
        <w:br/>
      </w:r>
      <w:r>
        <w:rPr>
          <w:rFonts w:ascii="Times New Roman" w:hAnsi="Times New Roman"/>
          <w:color w:val="FFFFFF"/>
          <w:sz w:val="2"/>
        </w:rPr>
        <w:t xml:space="preserve">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WINGDINGS">
    <w:charset w:val="02"/>
    <w:family w:val="auto"/>
    <w:pitch w:val="default"/>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2.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119</Pages>
  <Words>52600</Words>
  <Characters>279146</Characters>
  <CharactersWithSpaces>335187</CharactersWithSpaces>
  <Paragraphs>8144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