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505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05587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SPRIESER JUDITH A</w:t>
              </w:r>
            </w:hyperlink>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NEWELL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NWL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bottom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80" w:type="dxa"/>
            <w:vAlign w:val="bottom"/>
            <w:gridSpan w:val="2"/>
          </w:tcPr>
          <w:p>
            <w:pPr>
              <w:spacing w:after="0"/>
              <w:rPr>
                <w:sz w:val="6"/>
                <w:szCs w:val="6"/>
                <w:color w:val="auto"/>
              </w:rPr>
            </w:pPr>
          </w:p>
        </w:tc>
        <w:tc>
          <w:tcPr>
            <w:tcW w:w="5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05/07/2026</w:t>
            </w:r>
          </w:p>
        </w:tc>
        <w:tc>
          <w:tcPr>
            <w:tcW w:w="16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NEWELL BRANDS INC.</w:t>
            </w:r>
          </w:p>
        </w:tc>
        <w:tc>
          <w:tcPr>
            <w:tcW w:w="122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5 CONCOURSE PARKWAY NE, 8TH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30328</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7"/>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7"/>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3"/>
          </w:tcPr>
          <w:p>
            <w:pPr>
              <w:ind w:left="4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Restricted Stock Units</w:t>
            </w: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05/07/2026</w:t>
            </w:r>
          </w:p>
        </w:tc>
        <w:tc>
          <w:tcPr>
            <w:tcW w:w="8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302"/>
              <w:spacing w:after="0"/>
              <w:rPr>
                <w:sz w:val="20"/>
                <w:szCs w:val="20"/>
                <w:color w:val="auto"/>
              </w:rPr>
            </w:pPr>
            <w:r>
              <w:rPr>
                <w:rFonts w:ascii="Times New Roman" w:cs="Times New Roman" w:eastAsia="Times New Roman" w:hAnsi="Times New Roman"/>
                <w:sz w:val="16"/>
                <w:szCs w:val="16"/>
                <w:color w:val="0000FF"/>
              </w:rPr>
              <w:t>30,418</w:t>
            </w:r>
          </w:p>
        </w:tc>
        <w:tc>
          <w:tcPr>
            <w:tcW w:w="2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right"/>
              <w:ind w:right="38"/>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80,393</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5"/>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6"/>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4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restart"/>
          </w:tcPr>
          <w:p>
            <w:pPr>
              <w:jc w:val="center"/>
              <w:ind w:right="240"/>
              <w:spacing w:after="0"/>
              <w:rPr>
                <w:sz w:val="20"/>
                <w:szCs w:val="20"/>
                <w:color w:val="auto"/>
              </w:rPr>
            </w:pPr>
            <w:r>
              <w:rPr>
                <w:rFonts w:ascii="Times New Roman" w:cs="Times New Roman" w:eastAsia="Times New Roman" w:hAnsi="Times New Roman"/>
                <w:sz w:val="11"/>
                <w:szCs w:val="11"/>
                <w:color w:val="008000"/>
                <w:w w:val="93"/>
              </w:rPr>
              <w:t>(3)</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w w:val="99"/>
              </w:rPr>
              <w:t>30,418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05/07/2026</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30,418</w:t>
            </w:r>
          </w:p>
        </w:tc>
        <w:tc>
          <w:tcPr>
            <w:tcW w:w="720" w:type="dxa"/>
            <w:vAlign w:val="bottom"/>
            <w:gridSpan w:val="3"/>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05/07/2026</w:t>
            </w: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62"/>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7"/>
                <w:szCs w:val="17"/>
                <w:color w:val="auto"/>
              </w:rPr>
            </w:pPr>
          </w:p>
        </w:tc>
        <w:tc>
          <w:tcPr>
            <w:tcW w:w="500" w:type="dxa"/>
            <w:vAlign w:val="bottom"/>
          </w:tcPr>
          <w:p>
            <w:pPr>
              <w:jc w:val="center"/>
              <w:ind w:right="240"/>
              <w:spacing w:after="0"/>
              <w:rPr>
                <w:sz w:val="20"/>
                <w:szCs w:val="20"/>
                <w:color w:val="auto"/>
              </w:rPr>
            </w:pPr>
            <w:r>
              <w:rPr>
                <w:rFonts w:ascii="Times New Roman" w:cs="Times New Roman" w:eastAsia="Times New Roman" w:hAnsi="Times New Roman"/>
                <w:sz w:val="11"/>
                <w:szCs w:val="11"/>
                <w:color w:val="008000"/>
                <w:w w:val="93"/>
              </w:rPr>
              <w:t>(3)</w:t>
            </w: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34,801.54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center"/>
              <w:ind w:right="3"/>
              <w:spacing w:after="0" w:line="203" w:lineRule="exact"/>
              <w:rPr>
                <w:sz w:val="20"/>
                <w:szCs w:val="20"/>
                <w:color w:val="auto"/>
              </w:rPr>
            </w:pPr>
            <w:r>
              <w:rPr>
                <w:rFonts w:ascii="Times New Roman" w:cs="Times New Roman" w:eastAsia="Times New Roman" w:hAnsi="Times New Roman"/>
                <w:sz w:val="13"/>
                <w:szCs w:val="13"/>
                <w:color w:val="0000FF"/>
                <w:w w:val="92"/>
              </w:rPr>
              <w:t>34,801.54</w:t>
            </w:r>
            <w:r>
              <w:rPr>
                <w:rFonts w:ascii="Times New Roman" w:cs="Times New Roman" w:eastAsia="Times New Roman" w:hAnsi="Times New Roman"/>
                <w:sz w:val="21"/>
                <w:szCs w:val="21"/>
                <w:color w:val="008000"/>
                <w:w w:val="92"/>
                <w:vertAlign w:val="superscript"/>
              </w:rPr>
              <w:t>(5)(6)</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Phantom</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ind w:left="1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includes corrected beneficial ownership totals in Table I, Column 5. The Form 4 filed on May 12, 2025 reporting beneficial ownership totals were understated due to an administrative error failing to carry forward beneficial ownership amounts reported on previous Form 4 reports. No transactions were omitted.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Newell Brands Inc.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phantom stock units will convert to shares of the Company's Common Stock on a one-for-one basis after the end of the Reporting Person's service on the Company's Board, in accordance with the 2008 Deferred Compensation Plan, as amended ("DCP").</w:t>
      </w:r>
    </w:p>
    <w:p>
      <w:pPr>
        <w:spacing w:after="0" w:line="20" w:lineRule="exact"/>
        <w:rPr>
          <w:rFonts w:ascii="Times New Roman" w:cs="Times New Roman" w:eastAsia="Times New Roman" w:hAnsi="Times New Roman"/>
          <w:sz w:val="13"/>
          <w:szCs w:val="13"/>
          <w:color w:val="008000"/>
        </w:rPr>
      </w:pPr>
    </w:p>
    <w:p>
      <w:pPr>
        <w:ind w:left="40" w:right="5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vested awards of 26,642 RSU's granted in 2018, 2019 and 2020, pursuant to the Newell Rubbermaid Inc., 2013 Incentive Plan. The Reporting Person elected to defer settlement on the scheduled vesting date and the RSU's instead converted to an equal number of phantom stock units, in accordance with the DCP.</w:t>
      </w:r>
    </w:p>
    <w:p>
      <w:pPr>
        <w:spacing w:after="0" w:line="20" w:lineRule="exact"/>
        <w:rPr>
          <w:rFonts w:ascii="Times New Roman" w:cs="Times New Roman" w:eastAsia="Times New Roman" w:hAnsi="Times New Roman"/>
          <w:sz w:val="13"/>
          <w:szCs w:val="13"/>
          <w:color w:val="008000"/>
        </w:rPr>
      </w:pPr>
    </w:p>
    <w:p>
      <w:pPr>
        <w:ind w:left="40" w:right="360" w:hanging="1"/>
        <w:spacing w:after="0" w:line="286"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 total includes 8,159.54 phantom stock units acquired by the Reporting Person pursuant to a dividend reinvestment feature of the DCP, of which 2033.89 phantom stock units were acquired since the date of the last report. The additional phantom stock units acquired pursuant to the dividend reinvestment feature will be settled for cash after the end of the Reporting Person's service on the Company's Board.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Bradford R. Turner, Attorney </w:t>
      </w:r>
      <w:r>
        <w:rPr>
          <w:rFonts w:ascii="Times New Roman" w:cs="Times New Roman" w:eastAsia="Times New Roman" w:hAnsi="Times New Roman"/>
          <w:sz w:val="32"/>
          <w:szCs w:val="32"/>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 Fact for Judith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092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28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6994" TargetMode="External"/><Relationship Id="rId14" Type="http://schemas.openxmlformats.org/officeDocument/2006/relationships/hyperlink" Target="http://www.sec.gov/cgi-bin/browse-edgar?action=getcompany&amp;CIK=0000814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2026-05-11T16:06:03Z</dcterms:created>
  <dcterms:modified xsi:type="dcterms:W3CDTF">2026-05-11T16:06:03Z</dcterms:modified>
</cp:coreProperties>
</file>