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38" w:lineRule="auto"/>
        <w:rPr>
          <w:sz w:val="20"/>
          <w:szCs w:val="20"/>
          <w:color w:val="auto"/>
        </w:rPr>
      </w:pPr>
      <w:r>
        <w:rPr>
          <w:rFonts w:ascii="Courier New" w:cs="Courier New" w:eastAsia="Courier New" w:hAnsi="Courier New"/>
          <w:sz w:val="18"/>
          <w:szCs w:val="18"/>
          <w:color w:val="auto"/>
        </w:rPr>
        <w:t>Newell Rubbermaid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#651229106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#651229106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520,051</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6,175,822</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6,175,822</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2.133%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#651229106</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6,175,822</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6,175,822</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2.133%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Newell Rubbermaid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10B Glenlake Parkway</w:t>
      </w:r>
    </w:p>
    <w:p>
      <w:pPr>
        <w:ind w:left="1700"/>
        <w:spacing w:after="0" w:line="238" w:lineRule="auto"/>
        <w:rPr>
          <w:sz w:val="20"/>
          <w:szCs w:val="20"/>
          <w:color w:val="auto"/>
        </w:rPr>
      </w:pPr>
      <w:r>
        <w:rPr>
          <w:rFonts w:ascii="Courier New" w:cs="Courier New" w:eastAsia="Courier New" w:hAnsi="Courier New"/>
          <w:sz w:val="18"/>
          <w:szCs w:val="18"/>
          <w:color w:val="auto"/>
        </w:rPr>
        <w:t>Suite 300</w:t>
      </w:r>
    </w:p>
    <w:p>
      <w:pPr>
        <w:ind w:left="1700"/>
        <w:spacing w:after="0"/>
        <w:tabs>
          <w:tab w:leader="none" w:pos="3580" w:val="left"/>
        </w:tabs>
        <w:rPr>
          <w:sz w:val="20"/>
          <w:szCs w:val="20"/>
          <w:color w:val="auto"/>
        </w:rPr>
      </w:pPr>
      <w:r>
        <w:rPr>
          <w:rFonts w:ascii="Courier New" w:cs="Courier New" w:eastAsia="Courier New" w:hAnsi="Courier New"/>
          <w:sz w:val="18"/>
          <w:szCs w:val="18"/>
          <w:color w:val="auto"/>
        </w:rPr>
        <w:t>Atlanta, Georgia</w:t>
      </w:r>
      <w:r>
        <w:rPr>
          <w:sz w:val="20"/>
          <w:szCs w:val="20"/>
          <w:color w:val="auto"/>
        </w:rPr>
        <w:tab/>
      </w:r>
      <w:r>
        <w:rPr>
          <w:rFonts w:ascii="Courier New" w:cs="Courier New" w:eastAsia="Courier New" w:hAnsi="Courier New"/>
          <w:sz w:val="16"/>
          <w:szCs w:val="16"/>
          <w:color w:val="auto"/>
        </w:rPr>
        <w:t>30328</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651229106</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6,175,822</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2.133%</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520,051</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6,175,822</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(X).</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 obligation to amend this Statement if any material change</w:t>
      </w:r>
    </w:p>
    <w:p>
      <w:pPr>
        <w:spacing w:after="0" w:line="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occurs in the facts set forth herein. I also certify that, to the best of my knowledge and belief, FIL Limited and its various non-U.S. investment management subsidiaries included on</w:t>
      </w:r>
    </w:p>
    <w:p>
      <w:pPr>
        <w:spacing w:after="0" w:line="6"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this Schedule 13G are subject to a regulatory scheme substantially comparable to the regulatory scheme applicable to the functionally equivalent U.S. institutions. I also undertake to furnish to the Commission staff, upon request, information that would otherwise be disclosed in a Schedule 13D with respect to FIL Limited and its various non-U.S. investment management subsidiaries included on this Schedule 13G.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of 1940, is the beneficial owner of 5,650,800 shares or 1.952% of the Common Stock outstanding of Newell Rubbermaid Inc. ("the Company") as a result of acting as investment adviser to various investment companies registered under Section 8 of the Investment Company Act of 1940.</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5,650,800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LLC and a bank as defined in Section 3(a)(6) of the Securities Exchange Act of 1934, is the beneficial owner of 93,157 shares or 0.032% of the Common Stock outstanding of the Company as a result of its serving as investment manager of the institutional account(s).</w:t>
      </w:r>
    </w:p>
    <w:p>
      <w:pPr>
        <w:spacing w:after="0" w:line="211" w:lineRule="exact"/>
        <w:rPr>
          <w:sz w:val="20"/>
          <w:szCs w:val="20"/>
          <w:color w:val="auto"/>
        </w:rPr>
      </w:pPr>
    </w:p>
    <w:p>
      <w:pPr>
        <w:ind w:right="3999" w:firstLine="843"/>
        <w:spacing w:after="0" w:line="273" w:lineRule="auto"/>
        <w:rPr>
          <w:sz w:val="20"/>
          <w:szCs w:val="20"/>
          <w:color w:val="auto"/>
        </w:rPr>
      </w:pPr>
      <w:r>
        <w:rPr>
          <w:rFonts w:ascii="Courier New" w:cs="Courier New" w:eastAsia="Courier New" w:hAnsi="Courier New"/>
          <w:sz w:val="16"/>
          <w:szCs w:val="16"/>
          <w:color w:val="auto"/>
        </w:rPr>
        <w:t>Edward C. Johnson 3d and FMR LLC, through its control of Fidelity Management Trust Company, each has sole dispositive power over 93,157 shares and sole power to vote or to direct the voting of 93,157 shares of Common Stock owned by the institutional account(s) as reported above.</w:t>
      </w:r>
    </w:p>
    <w:p>
      <w:pPr>
        <w:spacing w:after="0" w:line="185"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3,369 shares, or 0.001%, of the Common Stock outstanding of Newell Rubbermaid Inc., beneficially owned through Strategic Advisers, Inc.</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6"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255,655 shares or 0.088% of the outstanding Common Stock of the Newell Rubbermaid Inc. as</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a result of its serving as investment manager of institutional accounts owning such shares.</w:t>
      </w:r>
    </w:p>
    <w:p>
      <w:pPr>
        <w:spacing w:after="0" w:line="208" w:lineRule="exact"/>
        <w:rPr>
          <w:sz w:val="20"/>
          <w:szCs w:val="20"/>
          <w:color w:val="auto"/>
        </w:rPr>
      </w:pPr>
    </w:p>
    <w:p>
      <w:pPr>
        <w:ind w:right="3899" w:firstLine="843"/>
        <w:spacing w:after="0" w:line="279" w:lineRule="auto"/>
        <w:rPr>
          <w:sz w:val="20"/>
          <w:szCs w:val="20"/>
          <w:color w:val="auto"/>
        </w:rPr>
      </w:pPr>
      <w:r>
        <w:rPr>
          <w:rFonts w:ascii="Courier New" w:cs="Courier New" w:eastAsia="Courier New" w:hAnsi="Courier New"/>
          <w:sz w:val="16"/>
          <w:szCs w:val="16"/>
          <w:color w:val="auto"/>
        </w:rPr>
        <w:t>Edward C. Johnson 3d and FMR LLC, through its control of Pyramis Global Advisors Trust Company, each has sole dispositive power over 255,655 shares and sole power to</w:t>
      </w:r>
    </w:p>
    <w:p>
      <w:pPr>
        <w:sectPr>
          <w:pgSz w:w="11900" w:h="16838" w:orient="portrait"/>
          <w:cols w:equalWidth="0" w:num="1">
            <w:col w:w="10219"/>
          </w:cols>
          <w:pgMar w:left="240" w:top="142" w:right="1440" w:bottom="0" w:gutter="0" w:footer="0" w:header="0"/>
        </w:sectPr>
      </w:pPr>
    </w:p>
    <w:bookmarkStart w:id="3" w:name="page4"/>
    <w:bookmarkEnd w:id="3"/>
    <w:p>
      <w:pPr>
        <w:ind w:right="4319"/>
        <w:spacing w:after="0" w:line="236" w:lineRule="auto"/>
        <w:rPr>
          <w:sz w:val="20"/>
          <w:szCs w:val="20"/>
          <w:color w:val="auto"/>
        </w:rPr>
      </w:pPr>
      <w:r>
        <w:rPr>
          <w:rFonts w:ascii="Courier New" w:cs="Courier New" w:eastAsia="Courier New" w:hAnsi="Courier New"/>
          <w:sz w:val="18"/>
          <w:szCs w:val="18"/>
          <w:color w:val="auto"/>
        </w:rPr>
        <w:t>vote or to direct the voting of 255,655 shares of Common Stock owned by the institutional accounts managed by PGATC as reported above.</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240.13d-1(b)(1)(ii), is the beneficial owner of 172,841 shares or 0.060% of the Common Stock outstanding of the Company.</w:t>
      </w:r>
    </w:p>
    <w:p>
      <w:pPr>
        <w:spacing w:after="0" w:line="212"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68" w:lineRule="auto"/>
        <w:rPr>
          <w:sz w:val="20"/>
          <w:szCs w:val="20"/>
          <w:color w:val="auto"/>
        </w:rPr>
      </w:pPr>
      <w:r>
        <w:rPr>
          <w:rFonts w:ascii="Courier New" w:cs="Courier New" w:eastAsia="Courier New" w:hAnsi="Courier New"/>
          <w:sz w:val="16"/>
          <w:szCs w:val="16"/>
          <w:color w:val="auto"/>
        </w:rPr>
        <w:t>and FIL, or trusts for their benefit, own shares of FIL voting stock. While the percentage of total voting power represented</w:t>
      </w:r>
    </w:p>
    <w:p>
      <w:pPr>
        <w:ind w:right="3359"/>
        <w:spacing w:after="0" w:line="268" w:lineRule="auto"/>
        <w:rPr>
          <w:sz w:val="20"/>
          <w:szCs w:val="20"/>
          <w:color w:val="auto"/>
        </w:rPr>
      </w:pPr>
      <w:r>
        <w:rPr>
          <w:rFonts w:ascii="Courier New" w:cs="Courier New" w:eastAsia="Courier New" w:hAnsi="Courier New"/>
          <w:sz w:val="16"/>
          <w:szCs w:val="16"/>
          <w:color w:val="auto"/>
        </w:rPr>
        <w:t>by these shares may fluctuate as a result of changes in the total number of shares of FIL voting stock outstanding from time to time, it normally represents more than 25% and less than 50%</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of the total votes which may be cast by all holders of FIL voting stock. FMR LLC and FIL are separate and independent corporate entities, and their Boards of Directors are generally composed of different individuals.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FIL has sole dispositive power over 172,841 shares owned by the International Funds. FIL has sole power to vote or direct the voting of 167,870 shares and no power to vote or direct the voting of 4,971 shares of Common Stock held by the International Funds as reported above.</w:t>
      </w: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2012, agree and consent to the joint filing on their behalf of this Schedule 13G in connection with their beneficial ownership of the Common Stock of Newell Rubbermaid Inc. at December 31, 2011.</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142" w:right="1440" w:bottom="739"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2019-12-09T09:36:17Z</dcterms:created>
  <dcterms:modified xsi:type="dcterms:W3CDTF">2019-12-09T09:36:17Z</dcterms:modified>
</cp:coreProperties>
</file>