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___________________</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5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___________________</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REPORT PURSUANT TO</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ectPr>
          <w:pgSz w:w="11900" w:h="16838" w:orient="portrait"/>
          <w:cols w:equalWidth="0" w:num="1">
            <w:col w:w="11240"/>
          </w:cols>
          <w:pgMar w:left="320" w:top="1440" w:right="339" w:bottom="22" w:gutter="0" w:footer="0" w:header="0"/>
        </w:sectPr>
      </w:pPr>
    </w:p>
    <w:p>
      <w:pPr>
        <w:spacing w:after="0" w:line="4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21"/>
          <w:szCs w:val="21"/>
          <w:color w:val="auto"/>
        </w:rPr>
        <w:t>FOR THE FISCAL YEAR ENDED</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COMMISSION FILE NUMBER</w:t>
      </w:r>
    </w:p>
    <w:p>
      <w:pPr>
        <w:spacing w:after="0" w:line="69" w:lineRule="exact"/>
        <w:rPr>
          <w:sz w:val="24"/>
          <w:szCs w:val="24"/>
          <w:color w:val="auto"/>
        </w:rPr>
      </w:pPr>
    </w:p>
    <w:p>
      <w:pPr>
        <w:sectPr>
          <w:pgSz w:w="11900" w:h="16838" w:orient="portrait"/>
          <w:cols w:equalWidth="0" w:num="2">
            <w:col w:w="6080" w:space="720"/>
            <w:col w:w="4440"/>
          </w:cols>
          <w:pgMar w:left="320" w:top="1440" w:right="339" w:bottom="22" w:gutter="0" w:footer="0" w:header="0"/>
          <w:type w:val="continuous"/>
        </w:sectPr>
      </w:pPr>
    </w:p>
    <w:p>
      <w:pPr>
        <w:ind w:left="2040"/>
        <w:spacing w:after="0"/>
        <w:rPr>
          <w:sz w:val="20"/>
          <w:szCs w:val="20"/>
          <w:color w:val="auto"/>
        </w:rPr>
      </w:pPr>
      <w:r>
        <w:rPr>
          <w:rFonts w:ascii="Times New Roman" w:cs="Times New Roman" w:eastAsia="Times New Roman" w:hAnsi="Times New Roman"/>
          <w:sz w:val="21"/>
          <w:szCs w:val="21"/>
          <w:b w:val="1"/>
          <w:bCs w:val="1"/>
          <w:color w:val="auto"/>
        </w:rPr>
        <w:t>December 31, 2024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1-9608</w:t>
      </w:r>
    </w:p>
    <w:p>
      <w:pPr>
        <w:spacing w:after="0" w:line="125" w:lineRule="exact"/>
        <w:rPr>
          <w:sz w:val="24"/>
          <w:szCs w:val="24"/>
          <w:color w:val="auto"/>
        </w:rPr>
      </w:pPr>
    </w:p>
    <w:p>
      <w:pPr>
        <w:sectPr>
          <w:pgSz w:w="11900" w:h="16838" w:orient="portrait"/>
          <w:cols w:equalWidth="0" w:num="2">
            <w:col w:w="7300" w:space="720"/>
            <w:col w:w="3220"/>
          </w:cols>
          <w:pgMar w:left="320" w:top="1440" w:right="339" w:bottom="22"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___________________</w:t>
      </w:r>
    </w:p>
    <w:p>
      <w:pPr>
        <w:sectPr>
          <w:pgSz w:w="11900" w:h="16838" w:orient="portrait"/>
          <w:cols w:equalWidth="0" w:num="1">
            <w:col w:w="11240"/>
          </w:cols>
          <w:pgMar w:left="320" w:top="1440" w:right="339" w:bottom="22" w:gutter="0" w:footer="0" w:header="0"/>
          <w:type w:val="continuous"/>
        </w:sectPr>
      </w:pP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NEWELL BRANDS INC.</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ind w:left="4860"/>
        <w:spacing w:after="0"/>
        <w:rPr>
          <w:sz w:val="20"/>
          <w:szCs w:val="20"/>
          <w:color w:val="auto"/>
        </w:rPr>
      </w:pPr>
      <w:r>
        <w:rPr>
          <w:rFonts w:ascii="Times New Roman" w:cs="Times New Roman" w:eastAsia="Times New Roman" w:hAnsi="Times New Roman"/>
          <w:sz w:val="16"/>
          <w:szCs w:val="16"/>
          <w:b w:val="1"/>
          <w:bCs w:val="1"/>
          <w:color w:val="auto"/>
        </w:rPr>
        <w:t>___________________</w:t>
      </w:r>
    </w:p>
    <w:p>
      <w:pPr>
        <w:spacing w:after="0" w:line="131" w:lineRule="exact"/>
        <w:rPr>
          <w:sz w:val="24"/>
          <w:szCs w:val="24"/>
          <w:color w:val="auto"/>
        </w:rPr>
      </w:pPr>
    </w:p>
    <w:tbl>
      <w:tblPr>
        <w:tblLayout w:type="fixed"/>
        <w:tblInd w:w="620" w:type="dxa"/>
        <w:tblCellMar>
          <w:top w:w="0" w:type="dxa"/>
          <w:left w:w="0" w:type="dxa"/>
          <w:bottom w:w="0" w:type="dxa"/>
          <w:right w:w="0" w:type="dxa"/>
        </w:tblCellMar>
      </w:tblPr>
      <w:tr>
        <w:trPr>
          <w:trHeight w:val="286"/>
        </w:trPr>
        <w:tc>
          <w:tcPr>
            <w:tcW w:w="5220" w:type="dxa"/>
            <w:vAlign w:val="bottom"/>
          </w:tcPr>
          <w:p>
            <w:pPr>
              <w:jc w:val="center"/>
              <w:ind w:right="943"/>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3520" w:type="dxa"/>
            <w:vAlign w:val="bottom"/>
          </w:tcPr>
          <w:p>
            <w:pPr>
              <w:jc w:val="right"/>
              <w:ind w:right="626"/>
              <w:spacing w:after="0"/>
              <w:rPr>
                <w:sz w:val="20"/>
                <w:szCs w:val="20"/>
                <w:color w:val="auto"/>
              </w:rPr>
            </w:pPr>
            <w:r>
              <w:rPr>
                <w:rFonts w:ascii="Times New Roman" w:cs="Times New Roman" w:eastAsia="Times New Roman" w:hAnsi="Times New Roman"/>
                <w:sz w:val="22"/>
                <w:szCs w:val="22"/>
                <w:b w:val="1"/>
                <w:bCs w:val="1"/>
                <w:color w:val="auto"/>
              </w:rPr>
              <w:t>36-3514169</w:t>
            </w:r>
          </w:p>
        </w:tc>
      </w:tr>
      <w:tr>
        <w:trPr>
          <w:trHeight w:val="238"/>
        </w:trPr>
        <w:tc>
          <w:tcPr>
            <w:tcW w:w="5220" w:type="dxa"/>
            <w:vAlign w:val="bottom"/>
          </w:tcPr>
          <w:p>
            <w:pPr>
              <w:jc w:val="center"/>
              <w:ind w:right="943"/>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520" w:type="dxa"/>
            <w:vAlign w:val="bottom"/>
          </w:tcPr>
          <w:p>
            <w:pPr>
              <w:jc w:val="center"/>
              <w:ind w:left="946"/>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436"/>
        </w:trPr>
        <w:tc>
          <w:tcPr>
            <w:tcW w:w="5220" w:type="dxa"/>
            <w:vAlign w:val="bottom"/>
          </w:tcPr>
          <w:p>
            <w:pPr>
              <w:jc w:val="center"/>
              <w:ind w:right="523"/>
              <w:spacing w:after="0"/>
              <w:rPr>
                <w:sz w:val="20"/>
                <w:szCs w:val="20"/>
                <w:color w:val="auto"/>
              </w:rPr>
            </w:pPr>
            <w:r>
              <w:rPr>
                <w:rFonts w:ascii="Times New Roman" w:cs="Times New Roman" w:eastAsia="Times New Roman" w:hAnsi="Times New Roman"/>
                <w:sz w:val="22"/>
                <w:szCs w:val="22"/>
                <w:b w:val="1"/>
                <w:bCs w:val="1"/>
                <w:color w:val="auto"/>
                <w:w w:val="97"/>
              </w:rPr>
              <w:t>6655 Peachtree Dunwoody Road,</w:t>
            </w:r>
          </w:p>
        </w:tc>
        <w:tc>
          <w:tcPr>
            <w:tcW w:w="3520" w:type="dxa"/>
            <w:vAlign w:val="bottom"/>
          </w:tcPr>
          <w:p>
            <w:pPr>
              <w:jc w:val="right"/>
              <w:ind w:right="566"/>
              <w:spacing w:after="0"/>
              <w:rPr>
                <w:sz w:val="20"/>
                <w:szCs w:val="20"/>
                <w:color w:val="auto"/>
              </w:rPr>
            </w:pPr>
            <w:r>
              <w:rPr>
                <w:rFonts w:ascii="Times New Roman" w:cs="Times New Roman" w:eastAsia="Times New Roman" w:hAnsi="Times New Roman"/>
                <w:sz w:val="22"/>
                <w:szCs w:val="22"/>
                <w:b w:val="1"/>
                <w:bCs w:val="1"/>
                <w:color w:val="auto"/>
              </w:rPr>
              <w:t>30328</w:t>
            </w:r>
          </w:p>
        </w:tc>
      </w:tr>
      <w:tr>
        <w:trPr>
          <w:trHeight w:val="324"/>
        </w:trPr>
        <w:tc>
          <w:tcPr>
            <w:tcW w:w="5220" w:type="dxa"/>
            <w:vAlign w:val="bottom"/>
          </w:tcPr>
          <w:p>
            <w:pPr>
              <w:ind w:left="1880"/>
              <w:spacing w:after="0"/>
              <w:rPr>
                <w:sz w:val="20"/>
                <w:szCs w:val="20"/>
                <w:color w:val="auto"/>
              </w:rPr>
            </w:pPr>
            <w:r>
              <w:rPr>
                <w:rFonts w:ascii="Times New Roman" w:cs="Times New Roman" w:eastAsia="Times New Roman" w:hAnsi="Times New Roman"/>
                <w:sz w:val="22"/>
                <w:szCs w:val="22"/>
                <w:b w:val="1"/>
                <w:bCs w:val="1"/>
                <w:color w:val="auto"/>
              </w:rPr>
              <w:t>Atlanta, Georgia</w:t>
            </w:r>
          </w:p>
        </w:tc>
        <w:tc>
          <w:tcPr>
            <w:tcW w:w="3520" w:type="dxa"/>
            <w:vAlign w:val="bottom"/>
          </w:tcPr>
          <w:p>
            <w:pPr>
              <w:jc w:val="center"/>
              <w:ind w:left="156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25"/>
        </w:trPr>
        <w:tc>
          <w:tcPr>
            <w:tcW w:w="5220" w:type="dxa"/>
            <w:vAlign w:val="bottom"/>
          </w:tcPr>
          <w:p>
            <w:pPr>
              <w:jc w:val="center"/>
              <w:ind w:right="523"/>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520" w:type="dxa"/>
            <w:vAlign w:val="bottom"/>
          </w:tcPr>
          <w:p>
            <w:pPr>
              <w:spacing w:after="0"/>
              <w:rPr>
                <w:sz w:val="19"/>
                <w:szCs w:val="19"/>
                <w:color w:val="auto"/>
              </w:rPr>
            </w:pP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7"/>
          <w:szCs w:val="17"/>
          <w:b w:val="1"/>
          <w:bCs w:val="1"/>
          <w:color w:val="auto"/>
        </w:rPr>
        <w:t>egistrant’s telephone number, including area code: (770) 418-7000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80" w:type="dxa"/>
            <w:vAlign w:val="bottom"/>
            <w:vMerge w:val="restart"/>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820" w:type="dxa"/>
            <w:vAlign w:val="bottom"/>
            <w:vMerge w:val="restart"/>
          </w:tcPr>
          <w:p>
            <w:pPr>
              <w:spacing w:after="0"/>
              <w:rPr>
                <w:sz w:val="18"/>
                <w:szCs w:val="18"/>
                <w:color w:val="auto"/>
              </w:rPr>
            </w:pPr>
          </w:p>
        </w:tc>
        <w:tc>
          <w:tcPr>
            <w:tcW w:w="35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52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REGISTERED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Common Stock, $1 par value per share</w:t>
            </w:r>
          </w:p>
        </w:tc>
        <w:tc>
          <w:tcPr>
            <w:tcW w:w="25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NWL</w:t>
            </w:r>
          </w:p>
        </w:tc>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bl>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___________________</w:t>
      </w:r>
    </w:p>
    <w:p>
      <w:pPr>
        <w:spacing w:after="0" w:line="183" w:lineRule="exact"/>
        <w:rPr>
          <w:sz w:val="24"/>
          <w:szCs w:val="24"/>
          <w:color w:val="auto"/>
        </w:rPr>
      </w:pPr>
    </w:p>
    <w:p>
      <w:pPr>
        <w:spacing w:after="0" w:line="184" w:lineRule="exact"/>
        <w:tabs>
          <w:tab w:leader="none" w:pos="774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56" w:lineRule="exact"/>
        <w:rPr>
          <w:sz w:val="24"/>
          <w:szCs w:val="24"/>
          <w:color w:val="auto"/>
        </w:rPr>
      </w:pPr>
    </w:p>
    <w:tbl>
      <w:tblPr>
        <w:tblLayout w:type="fixed"/>
        <w:tblInd w:w="20" w:type="dxa"/>
        <w:tblCellMar>
          <w:top w:w="0" w:type="dxa"/>
          <w:left w:w="0" w:type="dxa"/>
          <w:bottom w:w="0" w:type="dxa"/>
          <w:right w:w="0" w:type="dxa"/>
        </w:tblCellMar>
      </w:tblPr>
      <w:tr>
        <w:trPr>
          <w:trHeight w:val="286"/>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85"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22"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w:t>
      </w:r>
    </w:p>
    <w:p>
      <w:pPr>
        <w:spacing w:after="0" w:line="17" w:lineRule="exact"/>
        <w:rPr>
          <w:sz w:val="20"/>
          <w:szCs w:val="20"/>
          <w:color w:val="auto"/>
        </w:rPr>
      </w:pPr>
    </w:p>
    <w:p>
      <w:pPr>
        <w:spacing w:after="0" w:line="184" w:lineRule="exact"/>
        <w:tabs>
          <w:tab w:leader="none" w:pos="10740" w:val="left"/>
        </w:tabs>
        <w:rPr>
          <w:sz w:val="20"/>
          <w:szCs w:val="20"/>
          <w:color w:val="auto"/>
        </w:rPr>
      </w:pPr>
      <w:r>
        <w:rPr>
          <w:rFonts w:ascii="Times New Roman" w:cs="Times New Roman" w:eastAsia="Times New Roman" w:hAnsi="Times New Roman"/>
          <w:sz w:val="16"/>
          <w:szCs w:val="16"/>
          <w:color w:val="auto"/>
        </w:rPr>
        <w:t>reporting under Section 404(b) of the Sarbanes-Oxley Act (15 U.S.C. 7262(b)) by the registered public accounting firm that prepared or issued its audit report.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p>
      <w:pPr>
        <w:sectPr>
          <w:pgSz w:w="11900" w:h="16838" w:orient="portrait"/>
          <w:cols w:equalWidth="0" w:num="1">
            <w:col w:w="11240"/>
          </w:cols>
          <w:pgMar w:left="320" w:top="126" w:right="339" w:bottom="14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1" w:lineRule="exact"/>
        <w:rPr>
          <w:sz w:val="20"/>
          <w:szCs w:val="20"/>
          <w:color w:val="auto"/>
        </w:rPr>
      </w:pPr>
    </w:p>
    <w:p>
      <w:pPr>
        <w:sectPr>
          <w:pgSz w:w="11900" w:h="16838" w:orient="portrait"/>
          <w:cols w:equalWidth="0" w:num="2">
            <w:col w:w="200" w:space="80"/>
            <w:col w:w="10960"/>
          </w:cols>
          <w:pgMar w:left="320" w:top="126" w:right="339" w:bottom="1440" w:gutter="0" w:footer="0" w:header="0"/>
          <w:type w:val="continuous"/>
        </w:sect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6" w:lineRule="exact"/>
        <w:rPr>
          <w:sz w:val="20"/>
          <w:szCs w:val="20"/>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were 416.2 million shares of the Registrant’s Common Stock outstanding (net of treasury shares) at February 10, 2025. The aggregate market value of the shares of Common Stock on June 30, 2024 (based upon the share count and closing price on the Nasdaq Stock Exchange on such date) beneficially owned by non-affiliates of the Registrant was approximately $2.7 billion. For purposes of the foregoing calculation only, which is required by Form 10-K, the Registrant has included in the shares owned by affiliates those shares owned by directors and officers of the Registrant, and such inclusion shall not be construed as an admission that any such person is an affiliate for any purpose.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6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920" w:type="dxa"/>
            <w:vAlign w:val="bottom"/>
            <w:tcBorders>
              <w:top w:val="single" w:sz="8" w:color="auto"/>
            </w:tcBorders>
            <w:gridSpan w:val="5"/>
          </w:tcPr>
          <w:p>
            <w:pPr>
              <w:spacing w:after="0"/>
              <w:rPr>
                <w:sz w:val="24"/>
                <w:szCs w:val="24"/>
                <w:color w:val="auto"/>
              </w:rPr>
            </w:pPr>
          </w:p>
        </w:tc>
        <w:tc>
          <w:tcPr>
            <w:tcW w:w="394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 BUSINESS</w:t>
            </w:r>
          </w:p>
        </w:tc>
        <w:tc>
          <w:tcPr>
            <w:tcW w:w="8760" w:type="dxa"/>
            <w:vAlign w:val="bottom"/>
            <w:gridSpan w:val="26"/>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6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6680" w:type="dxa"/>
            <w:vAlign w:val="bottom"/>
            <w:gridSpan w:val="14"/>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2. PROPERTIES</w:t>
            </w:r>
          </w:p>
        </w:tc>
        <w:tc>
          <w:tcPr>
            <w:tcW w:w="540" w:type="dxa"/>
            <w:vAlign w:val="bottom"/>
            <w:tcBorders>
              <w:top w:val="single" w:sz="8" w:color="0000FF"/>
            </w:tcBorders>
            <w:gridSpan w:val="3"/>
          </w:tcPr>
          <w:p>
            <w:pPr>
              <w:spacing w:after="0"/>
              <w:rPr>
                <w:sz w:val="18"/>
                <w:szCs w:val="18"/>
                <w:color w:val="auto"/>
              </w:rPr>
            </w:pPr>
          </w:p>
        </w:tc>
        <w:tc>
          <w:tcPr>
            <w:tcW w:w="8020" w:type="dxa"/>
            <w:vAlign w:val="bottom"/>
            <w:gridSpan w:val="21"/>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SUPPLEMENTARY ITEM — EXECUTIVE OFFICERS OF THE REGISTRANT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9840" w:type="dxa"/>
            <w:vAlign w:val="bottom"/>
            <w:gridSpan w:val="30"/>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1740" w:type="dxa"/>
            <w:vAlign w:val="bottom"/>
            <w:tcBorders>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8540" w:type="dxa"/>
            <w:vAlign w:val="bottom"/>
            <w:gridSpan w:val="23"/>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95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700" w:type="dxa"/>
            <w:vAlign w:val="bottom"/>
            <w:gridSpan w:val="3"/>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69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ITEM 7A. QUANTITATIVE AND QUALITATIVE DISCLOSURES ABOUT MARKET RISK</w:t>
            </w:r>
          </w:p>
        </w:tc>
        <w:tc>
          <w:tcPr>
            <w:tcW w:w="3340" w:type="dxa"/>
            <w:vAlign w:val="bottom"/>
            <w:gridSpan w:val="6"/>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97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52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6880" w:type="dxa"/>
            <w:vAlign w:val="bottom"/>
            <w:gridSpan w:val="15"/>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6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ITEM 9B. OTHER INFORMATION</w:t>
            </w:r>
          </w:p>
        </w:tc>
        <w:tc>
          <w:tcPr>
            <w:tcW w:w="7600" w:type="dxa"/>
            <w:vAlign w:val="bottom"/>
            <w:gridSpan w:val="18"/>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9C. DISCLOSURES REGARDING FOREIGN JURISDICTIONS THAT PREVENT INSPECTIONS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gridSpan w:val="8"/>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760" w:type="dxa"/>
            <w:vAlign w:val="bottom"/>
            <w:gridSpan w:val="28"/>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6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3720" w:type="dxa"/>
            <w:vAlign w:val="bottom"/>
            <w:gridSpan w:val="7"/>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ITEM 11. EXECUTIVE COMPENSATION</w:t>
            </w:r>
          </w:p>
        </w:tc>
        <w:tc>
          <w:tcPr>
            <w:tcW w:w="7080" w:type="dxa"/>
            <w:vAlign w:val="bottom"/>
            <w:gridSpan w:val="16"/>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0120" w:type="dxa"/>
            <w:vAlign w:val="bottom"/>
            <w:tcBorders>
              <w:top w:val="single" w:sz="8" w:color="0000FF"/>
            </w:tcBorders>
            <w:gridSpan w:val="31"/>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84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20" w:type="dxa"/>
            <w:vAlign w:val="bottom"/>
            <w:gridSpan w:val="4"/>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9780" w:type="dxa"/>
            <w:vAlign w:val="bottom"/>
            <w:gridSpan w:val="29"/>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8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5480" w:type="dxa"/>
            <w:vAlign w:val="bottom"/>
            <w:gridSpan w:val="11"/>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690245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3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“Newell Brands” or the “Company” refers to Newell Brands Inc. alone or with its wholly owned subsidiaries, as the context requires. When this report uses the words “we,” “us” or “our,” it refers to the Company and its subsidiaries unless the context otherwise requires. The Company was founded in Ogdensburg, New York in 1903 and is incorporated in Delaware.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Website Access to Securities and Exchange Commission Reports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makes available free of charge on or through its website its annual reports on Form 10-K, quarterly reports on Form 10-Q, current reports on Form 8-K, and amendments to those reports filed or furnished pursuant to Section 13(a) or 15(d) of the Securities Exchange Act of 1934 (the “Exchange Act”) as soon as practicable after the Company files them with, or furnishes them to, the United States Securities and Exchange Commission (“SEC”). The Company’s website can be found at </w:t>
      </w:r>
      <w:r>
        <w:rPr>
          <w:rFonts w:ascii="Times New Roman" w:cs="Times New Roman" w:eastAsia="Times New Roman" w:hAnsi="Times New Roman"/>
          <w:sz w:val="18"/>
          <w:szCs w:val="18"/>
          <w:i w:val="1"/>
          <w:iCs w:val="1"/>
          <w:u w:val="single" w:color="auto"/>
          <w:color w:val="auto"/>
        </w:rPr>
        <w:t>www.newellbrands.com</w:t>
      </w:r>
      <w:r>
        <w:rPr>
          <w:rFonts w:ascii="Times New Roman" w:cs="Times New Roman" w:eastAsia="Times New Roman" w:hAnsi="Times New Roman"/>
          <w:sz w:val="18"/>
          <w:szCs w:val="18"/>
          <w:color w:val="auto"/>
        </w:rPr>
        <w:t>. The information on the Company’s website is not incorporated by reference into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over 40 of these countries, excluding third-party distributors.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 comprehensive assessment of key capabilities, starting in the second quarter of 2023, the leadership team began implementing an integrated set of new “where to play” and “how to win” strategies designed to enable the Company to leverage the scale of the portfolio, while further building upon its operational foundation and strengthening its front-end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its strategy, the Company is focused on:</w:t>
      </w:r>
    </w:p>
    <w:p>
      <w:pPr>
        <w:spacing w:after="0" w:line="27" w:lineRule="exact"/>
        <w:rPr>
          <w:sz w:val="20"/>
          <w:szCs w:val="20"/>
          <w:color w:val="auto"/>
        </w:rPr>
      </w:pPr>
    </w:p>
    <w:p>
      <w:pPr>
        <w:ind w:left="980" w:right="660" w:hanging="243"/>
        <w:spacing w:after="0" w:line="250"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meaningful improvement in front-end capabilities, including consumer understanding, brand management, brand communications, innovation and go-to-market execution;</w:t>
      </w:r>
    </w:p>
    <w:p>
      <w:pPr>
        <w:ind w:left="980" w:hanging="243"/>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Disproportionately investing in the Company’s largest and most profitable brands, fastest-growing channels and key geographies;</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Turning the Company’s scale into a competitive advantage, enabling cost savings that provide fuel for reinvestment; and</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to a high-performance organization as the Company transforms its culture.</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implementing this strategy while continuing to address key challenges such as shifting consumer preferences and behaviors; a highly competitive operating environment; a rapidly changing retail and consumer landscape; continued macroeconomic and geopolitical volatility; a soft macro backdrop; significant inflationary pressures on consumers and an evolving regulatory landscape.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Execution of these strategic imperatives, in combination with other initiatives aimed to build operational excellence, will better position the Company for long-term sustainable growth. One such initiative is Project Ovid which entails a multi-year, customer centric supply chain initiative which has transformed the Company’s go-to-market capabilities in the U.S., improving customer service levels and driving operational efficiencies. Project Ovid optimized the Company’s distribution network in 2022 and 2023 by creating a single integrated supply chain from 23 business-unit-centric supply chains. The initiative reduced administrative complexity, improved inventory and invoicing workflow for our customers and enhanced product availability for consumers through omni-channel enablement. This new operating model continues to drive efficiencies by better utilizing the Company’s transportation and distribution network and consolidating the number of overall distribution sites.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2023, the Company announced a restructuring and cost savings initiative that was intended to simplify and streamline its North American distribution network (the “Network Optimization Project”) in order to improve the Company’s cost structure and operating margins while maintaining focus on customer and consumer fulfillment. The Network Optimization Project incorporated a variety of initiatives, including a reduction in the overall number of distribution centers, an optimization of distribution by location, and completion of select automation investments intended to further streamline the Company’s cost structure and to maximize operating performance. These actions were substantially implemented by the end of 2024.</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Company announced a restructuring and savings initiative (“Project Phoenix”) that was intended to strengthen the Company by leveraging its scale to further reduce complexity, streamline its operating model and drive operational efficiencies. The Company commenced reducing headcount during the first quarter of 2023. Project Phoenix incorporated a variety of initiatives designed to simplify the organizational structure, streamline the Company’s real estate portfolio, centralize the Company’s supply chain functions, transition to a unified One Newell go-to-market model in key international geographies, and otherwise reduce overhead costs. These actions were substantially implemented by the end of 2023.</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the Company announced an organizational realignment (“Realignment Plan”), which was designed to strengthen the Company’s front-end commercial capabilities, such as consumer understanding and brand communication, in support of the “where to play” and “how to win” strategies the Company unveiled in June of 2023. In addition to improving accountability, the Realignment Plan was designed to unlock operational efficiencies and cost savings, reduce complexity and free up funds for reinvestment. As part of the Realignment Plan, the Company has made several operating model changes, which entailed: standing up a cross-functional brand management organization, realigning business unit finance to fully support the new global brand management model, further simplifying and standardizing regional go-to-market organizations, and centralizing domestic retail sales teams, the digital technology team, business-aligned accounting personnel, the Manufacturing Quality team, and the Human Resources functions into the appropriate center-led teams to drive standardization, efficiency and scale with a One Newell approach. The Company has also further optimized the Company’s real estate footprint and pursued other cost reduction initiatives. These actions were primarily implemented by the end of 2024. Remaining actions, subject to applicable local law and consultation requirements, are expected to be implemented by the end of fiscal year 2025.</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continues to review its operating footprint and non-core brands, which will likely result in future restructuring and restructuring-related charges.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Recent Developments, Liquidity and Capital Resources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Footnotes 1 and 4 of the Notes to Consolidated Financial Statements </w:t>
      </w:r>
      <w:r>
        <w:rPr>
          <w:rFonts w:ascii="Times New Roman" w:cs="Times New Roman" w:eastAsia="Times New Roman" w:hAnsi="Times New Roman"/>
          <w:sz w:val="18"/>
          <w:szCs w:val="18"/>
          <w:color w:val="auto"/>
        </w:rPr>
        <w:t>for further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primary operating segments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12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Key Brands</w:t>
            </w:r>
          </w:p>
        </w:tc>
        <w:tc>
          <w:tcPr>
            <w:tcW w:w="53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Description of Primary Products</w:t>
            </w:r>
          </w:p>
        </w:tc>
      </w:tr>
      <w:tr>
        <w:trPr>
          <w:trHeight w:val="169"/>
        </w:trPr>
        <w:tc>
          <w:tcPr>
            <w:tcW w:w="1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14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Ball</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Calphalon, Crockpot, FoodSaver, Mapa,</w:t>
            </w:r>
          </w:p>
        </w:tc>
        <w:tc>
          <w:tcPr>
            <w:tcW w:w="140" w:type="dxa"/>
            <w:vAlign w:val="bottom"/>
            <w:tcBorders>
              <w:top w:val="single" w:sz="8" w:color="CCEEFF"/>
            </w:tcBorders>
            <w:shd w:val="clear" w:color="auto" w:fill="CCEEFF"/>
          </w:tcPr>
          <w:p>
            <w:pPr>
              <w:spacing w:after="0"/>
              <w:rPr>
                <w:sz w:val="14"/>
                <w:szCs w:val="14"/>
                <w:color w:val="auto"/>
              </w:rPr>
            </w:pPr>
          </w:p>
        </w:tc>
        <w:tc>
          <w:tcPr>
            <w:tcW w:w="53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Commercial cleaning and maintenance solutions; closet and garage</w:t>
            </w:r>
          </w:p>
        </w:tc>
      </w:tr>
      <w:tr>
        <w:trPr>
          <w:trHeight w:val="180"/>
        </w:trPr>
        <w:tc>
          <w:tcPr>
            <w:tcW w:w="16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41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Mr. Coffee, Oster, Rubbermaid, Rubbermaid</w:t>
            </w:r>
          </w:p>
        </w:tc>
        <w:tc>
          <w:tcPr>
            <w:tcW w:w="53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organization; hygiene systems and material handling solutions; household</w:t>
            </w:r>
          </w:p>
        </w:tc>
      </w:tr>
      <w:tr>
        <w:trPr>
          <w:trHeight w:val="184"/>
        </w:trPr>
        <w:tc>
          <w:tcPr>
            <w:tcW w:w="16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Solutions</w:t>
            </w: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Commercial Products, Sistema, Spontex, Sunbeam,</w:t>
            </w:r>
          </w:p>
        </w:tc>
        <w:tc>
          <w:tcPr>
            <w:tcW w:w="53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products, including kitchen appliances; food and home storage products;</w:t>
            </w:r>
          </w:p>
        </w:tc>
      </w:tr>
      <w:tr>
        <w:trPr>
          <w:trHeight w:val="176"/>
        </w:trPr>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WoodWick and Yankee Candle</w:t>
            </w:r>
          </w:p>
        </w:tc>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fresh preserving products; vacuum sealing products; gourmet cookware,</w:t>
            </w:r>
          </w:p>
        </w:tc>
      </w:tr>
      <w:tr>
        <w:trPr>
          <w:trHeight w:val="243"/>
        </w:trPr>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bakeware and cutlery and home fragrance products</w:t>
            </w:r>
          </w:p>
        </w:tc>
      </w:tr>
      <w:tr>
        <w:trPr>
          <w:trHeight w:val="175"/>
        </w:trPr>
        <w:tc>
          <w:tcPr>
            <w:tcW w:w="1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Learning and</w:t>
            </w: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Dymo, Elmer’s, EXPO, Graco, NUK, Paper Mate,</w:t>
            </w:r>
          </w:p>
        </w:tc>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Baby gear and infant care products; writing instruments, including</w:t>
            </w:r>
          </w:p>
        </w:tc>
      </w:tr>
      <w:tr>
        <w:trPr>
          <w:trHeight w:val="184"/>
        </w:trPr>
        <w:tc>
          <w:tcPr>
            <w:tcW w:w="1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4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Parker and Sharpie</w:t>
            </w:r>
          </w:p>
        </w:tc>
        <w:tc>
          <w:tcPr>
            <w:tcW w:w="5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markers and highlighters, pens and pencils; art products; activity-based</w:t>
            </w:r>
          </w:p>
        </w:tc>
      </w:tr>
      <w:tr>
        <w:trPr>
          <w:trHeight w:val="234"/>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and labeling solutions</w:t>
            </w:r>
          </w:p>
        </w:tc>
      </w:tr>
      <w:tr>
        <w:trPr>
          <w:trHeight w:val="175"/>
        </w:trPr>
        <w:tc>
          <w:tcPr>
            <w:tcW w:w="1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Outdoor and</w:t>
            </w: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Campingaz, Coleman, Contigo and Marmot</w:t>
            </w:r>
          </w:p>
        </w:tc>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Active  lifestyle  products  for  outdoor  and  outdoor-related  activities;</w:t>
            </w:r>
          </w:p>
        </w:tc>
      </w:tr>
      <w:tr>
        <w:trPr>
          <w:trHeight w:val="24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Recreation</w:t>
            </w:r>
          </w:p>
        </w:tc>
        <w:tc>
          <w:tcPr>
            <w:tcW w:w="3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technical apparel and on-the-go beverageware</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 xml:space="preserve">(1) </w:t>
      </w:r>
      <w:r>
        <w:rPr>
          <w:sz w:val="1"/>
          <w:szCs w:val="1"/>
          <w:color w:val="auto"/>
        </w:rPr>
        <w:drawing>
          <wp:inline distT="0" distB="0" distL="0" distR="0">
            <wp:extent cx="248285" cy="171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285" cy="17145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and Ball®, TM of Ball Corporation, used under license.</w:t>
      </w:r>
    </w:p>
    <w:p>
      <w:pPr>
        <w:spacing w:after="0" w:line="2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2023, the Company implemented a new operating model intended to drive further simplification and unlock additional efficiencies and synergies within the Company. In connection with the new operating model, the President and Chief Executive Officer of the Company, who is the chief operating decision maker (the “CODM”), reviews the businesses as three operating segments: Home and Commercial Solutions (“H&amp;CS”), Learning and Development (“L&amp;D”) and Outdoor and Recreation (“O&amp;R”). This structure reflects the manner in which the CODM regularly assesses information for decision-making purposes, including the allocation of resources.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Footnote 17 of the Notes to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Home and Commercial Solutions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H&amp;CS segment designs, manufactures, sources, markets and distributes a diverse line of household products, including kitchen appliances, food and home storage, fresh preserving, vacuum sealing, gourmet cookware, bakeware and cutlery and home fragrance products, as well as commercial cleaning and maintenance solutions products, closet and garage organization products, hygiene systems and material handling solutions. Kitchen appliances are primarily sold under the Crockpot, Mr. Coffee, Oster and Sunbeam brands. The Company also has rights to sell various small appliances in substantially all of Europe under the Breville brand name. Food storage products are sold primarily under the FoodSaver, Rubbermaid and Sistema brands. Gourmet cookware, bakeware and cutlery are sold under the Calphalon brand. The Company also sells certain home canning and food storage products under the Ball brand, pursuant to a license from Ball Corporation. Home fragrance products are sold primarily under the WoodWick and Yankee Candle brands. Commercial cleaning and maintenance solutions products are primarily sold under the Rubbermaid, Rubbermaid Commercial Products, Mapa and Spontex brands.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H&amp;CS segment primarily markets its products directly to mass merchants, warehouse clubs, home centers, department stores, drug/grocery stores, specialty retailers, discount stores, e-commerce retailers, commercial products distributors, select contract customers and other professional customers, as well as direct to consumers online and in Yankee Candle retail stores.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and Development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L&amp;D segment designs, manufactures, sources, markets and distributes writing instruments, including markers and highlighters, pens and pencils; art products; activity-based products; labeling solutions; baby gear and infant care products. Writing instruments, activity-based products and labeling solutions products are sold primarily under the Dymo, Elmer’s, EXPO, Paper Mate, Parker and Sharpie brands. Baby gear and infant care products are sold primarily under the Graco and NUK brands.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L&amp;D segment primarily markets its products directly to mass merchants, warehouse clubs, department stores, drug/grocery stores, office superstores, office supply stores, contract stationers, distributors and e-commerce retailers, and direct to consumers online.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Outdoor and Recreation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O&amp;R segment designs, manufactures, sources, markets and distributes global consumer active lifestyle products for outdoor and outdoor-related activities, including technical apparel and on-the-go beverageware. Active lifestyle products are sold primarily under the Campingaz, Coleman, Contigo, and Marmot brands.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O&amp;R segment primarily markets its products directly to warehouse clubs, department stores, grocery stores, mass merchants, sporting goods and specialty retailers, distributors and e-commerce retailers, as well as direct to consumers online.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for further discussion.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Multi-Product Offering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broad product offering in multiple categories permits it to meet the needs of its customers more effectively. With families of leading brand names and innovative new products, the Company can assist volume purchasers in selling a more profitable product mix. As a potential single source for an entire product line, the Company can use program merchandising to improve product presentation, optimize display space for both sales and income, and encourage impulse buying by consumers.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Raw Materials and Sourced Finished Goods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multiple foreign and domestic sources of supply for substantially all of its material requirements. The raw materials and various purchased components required for its products have generally been available in sufficient quantities, however the Company continues to monitor risks for capacity constraints around certain raw materials and finished goods driven by evolving global conditions. The Company’s product offerings require the purchase of resin, corrugate, glass, plastic, expanded polystyrene, nylon, paper, sawdust, tin plate, wax, wood, natural rubber, electrical components, glass fiber, magnesium, adhesives, various paper-related packaging materials and metals, including steel, stainless steel, aluminum and copper. The Company’s resin purchases are principally comprised of polyethylene, polypropylene and copolyester.</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relies on third-party manufacturers as a source for finished goods. Historically, the Company has experienced inflation in sourced product costs due to currency fluctuations and increased input and labor costs. In some cases, a single</w:t>
      </w:r>
    </w:p>
    <w:p>
      <w:pPr>
        <w:sectPr>
          <w:pgSz w:w="11900" w:h="16838" w:orient="portrait"/>
          <w:cols w:equalWidth="0" w:num="1">
            <w:col w:w="11240"/>
          </w:cols>
          <w:pgMar w:left="320" w:top="848"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manufacturer or a limited number of manufacturers may supply substantially all the finished goods for a product line. For example, the Baby business unit within the Company’s L&amp;D segment has a single source of supply for products that comprise a majority of its sales and that owns the intellectual property for many of those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dollar value of unshipped orders is not material.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 Variations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the Company’s products tend to be seasonal, with sales, operating income and operating cash flow in the first quarter generally lower than any other quarter during the year, driven principally by reduced volume and the mix of products sold in the first quarter. The seasonality of the Company’s sales volume combined with the accounting for fixed costs, such as depreciation, amortization, rent, personnel costs and interest expense, impacts the Company’s results on a quarterly basis. In addition, the Company tends to generate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 In addition, uncertainty still remains over the volatility and direction of future consumer and customer demand patterns, as well as inflationary pressures.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and Trademarks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many patents, trademarks, brand names, tradenames and other intellectual property rights that are, in the aggregate, important to its business. The Company’s most significant brands include Calphalon, Campingaz, Coleman, Contigo, Crockpot, Dymo, Elmer’s, EXPO, FoodSaver, Graco, Mapa, Marmot, Mr. Coffee, NUK, Oster, Paper Mate, Parker, Rubbermaid, Rubbermaid Commercial Products, Sharpie, Sistema, Spontex, Sunbeam, WoodWick and Yankee Candle.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Customers/Competition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customers are large mass merchandisers, discount stores, home centers, warehouse clubs, office superstores, direct-to-consumer channels, specialty retailers and wholesalers, commercial distributors and e-commerce retailers. The dominant share of the market represented by large retailers, together with changes in consumer shopping patterns and the integration of brick and mortar and e-commerce operations at major retailers, has contributed to the formation of dominant multi-category omni-channel and e-commerce retailers that have strong negotiating power with suppliers. This environment may limit the Company’s ability to recover cost increases through pricing.</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 trends among retailers include fostering high levels of competition among suppliers, rebalancing and reducing inventory levels, demanding innovative new products and products tailored to each of their unique requirements and requiring suppliers to maintain or reduce product prices and deliver products with shorter lead times. Other trends, in the absence of a strong new product development effort or strong end-user demand for a brand, are for retailers to import generic products directly from foreign sources and to source and sell products under their own private label brands, which compete with the Company’s products. The combination of these market influences has created an intensely competitive environment in which the Company’s principal customers continuously evaluate which product suppliers to use, resulting in downward pricing pressures and the need for big, consumer-meaningful brands, the ongoing introduction and commercialization of innovative new products, continuing improvements in category management and customer service, and the maintenance of strong relationships with large, high-volume purchasers. The Company competes with numerous manufacturers and distributors of consumer products, many of which are large and well-established. Our Yankee Candle retail stores compete primarily with specialty candle and personal care retailers and a variety of other retailers, including department stores, gift stores and national specialty retailers that sell candles.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methods of meeting its competitive challenges are creating and maintaining leading brands and differentiated products that deliver superior value and performance, delivering superior customer service and consistent on-time delivery and producing and procuring products at a competitive cost. In addition, the Company has an experienced management team that focuses on building consumer loyalty and increasing consumer demand through increased investment in consumer insights and using those insights to develop innovative products and product features that meet consumers’ needs.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positioned itself to respond to the competitive challenges in the retail environment by developing strong relationships with large, high-volume purchasers. The Company markets its strong multi-product offering through virtually every category of high-volume retailers, including discount, drug, grocery and variety chains; warehouse clubs; department, hardware and specialty stores; home centers; office superstores; contract stationers; and e-commerce retailers. The Company’s largest customer in 2024, Amazon, accounted for approximately 15% of net sales in 2024 and 13% in each of 2023 and 2022. Walmart Inc. and subsidiaries (“Walmart”), the Company’s second largest customer in 2024, accounted for approximately 14%, 15% and 14% of net</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sales in 2024, 2023 and 2022, respectively. The Company’s top-ten customers in 2024 included in alphabetical order: Amazon, Costco, Kroger, Lowe’s, Office Depot, Staples, Target, The Home Depot, Uline and Walmart.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the Company’s environmental matters is included in the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section and in</w:t>
      </w:r>
      <w:r>
        <w:rPr>
          <w:rFonts w:ascii="Times New Roman" w:cs="Times New Roman" w:eastAsia="Times New Roman" w:hAnsi="Times New Roman"/>
          <w:sz w:val="18"/>
          <w:szCs w:val="18"/>
          <w:i w:val="1"/>
          <w:iCs w:val="1"/>
          <w:color w:val="auto"/>
        </w:rPr>
        <w:t xml:space="preserve"> Footnote 18 of the Notes to Consolidated Financial Statements </w:t>
      </w:r>
      <w:r>
        <w:rPr>
          <w:rFonts w:ascii="Times New Roman" w:cs="Times New Roman" w:eastAsia="Times New Roman" w:hAnsi="Times New Roman"/>
          <w:sz w:val="18"/>
          <w:szCs w:val="18"/>
          <w:color w:val="auto"/>
        </w:rPr>
        <w:t>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research and development efforts focus on developing new, differentiated and innovative products to meet consumers’ needs. The Company’s product development efforts begin with consumer insights. The Company continues to invest to strengthen its product design, research and development capabilities and has consolidated its design and innovation capabilities and consumer marketing and insight capabilities into a global center of excellence to further strengthen these capabilities.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Newell Brands is committed to creating a workplace that fosters innovation, high performance and inclusion to enable sustainable business success and talent attraction, engagement and retention of required talent capabilities. The Company has employees located throughout the world. At December 31, 2024, the Company employed approximately 23,700 people worldwide. Approximately 3,400 were in the Asia-Pacific region, 4,400 were in the Europe, Middle East and Africa region, 5,300 were in the Latin America region and 10,600 were in the North America region. Of the Company’s total employees, approximately 14,000 were employed in manufacturing and supply chain roles. The Company’s capable employee base, along with its commitment to uncompromising values, provide the foundation for the Company’s success.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employees are responsible for upholding the Company’s goal of creating a safer, sustainable, productive, and consumer-focused future. The Company’s values of Integrity, Teamwork, Passion for Winning, Ownership and Leadership guide our own actions as well as our relationships with consumers, customers, suppliers and each other. They are grounded in a mission first philosophy enabling the Company to deliver results, drive long-term sustainability and promote a winning culture. The Company collectively works to create a culture and community where our employees feel their voice is heard in our ongoing progress to make a difference to our consumers around the world.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deploys a talent and workforce planning strategy focused on attracting, engaging, and retaining the required talent pools and capabilities necessary to win in the market. Our global presence and the breadth of our industry-leading iconic brand portfolio requires a multi-cultural, multi-generational workforce that reflects the array of consumers we serve. To enable our workforce to stay relentlessly focused on anticipating and meeting the needs and wants of our consumers, we guard against unfair talent practices and make decisions based on merit. Newell Brands is focused on providing career experience opportunities that encourage the development of our employees. We offer development, resources and other experiences to expand skill sets and provide support to elevate careers. There are opportunities to access coaching and mentoring. As employees progress at Newell, they will be able to gain expertise and broaden their exposure to different parts of the business. Employees can move up or laterally to access a full array of opportunities in various realms of expertise. The Company tracks and reports internally on key talent metrics including talent pipeline and succession data, and organization health engagement indices. We will continue to enhance our talent and culture measurements to further reflect our progress over 2025.</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believes its management team has the experience necessary to effectively execute its strategy and advance its product and technology leadership. The President and Chief Executive Officer (“CEO”) and executive leadership team have deep industry experience. They partner and work closely with an experienced and talented management team who is dedicated to maintaining and expanding our position as a global leader in the consumer products industry. For discussion of the risks relating to the attraction and retention of key management and executive employees,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section hereafter.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Ownership of the Company’s securities involves a number of risks and uncertainties. Potential investors should carefully consider the risks and uncertainties described below and the other information in this Annual Report on Form 10-K before deciding whether to invest in the Company’s securities. The Company’s business, financial condition or results of operations could be materially adversely affected by any of these risks. The risks described below are not the only ones the Company faces. Additional risks that are currently unknown to the Company or that the Company currently considers immaterial may also impair its business or adversely affect its financial condition or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and Operational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is subject to intense competition in a marketplace dominated by large omni-channel and e-commerce retailers.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competes with numerous other manufacturers and distributors of consumer and commercial products, many of which are large and well-established. A proliferation of digitally native brands has further intensified the competitive landscape. The Company’s principal customers are large mass merchandisers, discount stores, home centers, warehouse clubs, office superstores, specialty retailers, wholesalers, commercial distributors, direct-to-consumer channels, and e-commerce retailers. The dominant share of the market represented by these large retailers, together with changes in consumer shopping patterns, and the integration of brick and mortar and e-commerce operations at major retailers, has contributed to the formation of dominant multi-category omni-channel and e-commerce retailers that have strong negotiating power with suppliers. These retailers have and may continue to foster high levels of competition among suppliers, reduce inventory levels, demand innovative new products and products tailored to each of their unique specifications, require suppliers to maintain or reduce product prices in response to competitive, economic or other factors, and require product delivery with shorter lead times. Retailers have imported and may continue to import products directly from foreign sources and source and sell products under their own private label brands, typically at lower prices, that compete with the Company’s products.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combination of these market influences and retailer consolidation has created an intensely competitive environment in which the Company’s principal customers continuously evaluate which product suppliers to use, resulting in downward pricing pressures and the need for consumer-meaningful brands, the ongoing introduction and commercialization of innovative new products, continuing improvements in category management and customer service, and the maintenance of strong relationships with large, high-volume purchasers. The Company also faces the risk of changes in the strategy or structure of its major customers, such as overall store and inventory reductions. The intense competition in the traditional retail and e-commerce sectors may result in a number of customers experiencing financial difficulty or failing in the future. To address these challenges, the Company must be able to respond to competitive factors and the potential loss of customers in the future, and the failure to respond effectively could result in a loss of sales, reduced profitability and a limited ability to recover cost increases through price increases.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customers may further consolidate, which could materially adversely affect the Company’s sales and margins.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customers have steadily consolidated over time. The Company expects any customers that consolidate will take actions to harmonize pricing from their suppliers, close retail outlets, reduce inventory, and rationalize their supply chain, which could adversely affect the Company’s business and results of operations. There can be no assurance that, following consolidation, the Company’s large customers will continue to buy from the Company across different product categories or geographic regions, or at the same levels as prior to consolidation, which could negatively impact the Company’s financial results. Further, if the consolidation trend continues, it could result in additional increase in the customers’ negotiating power with suppliers, as well as pricing and other competitive pressures that could reduce the Company’s sales and profitability.</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sales are dependent on purchases by several large customers and any significant decline in these purchases or pressure from these customers to reduce prices could have a negative effect on the Company’s future financial performance.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has long-established relationships with many customers, the Company generally does not have any long-term supply or binding contracts or guarantees of minimum purchases with its largest customers. Purchase commitments by these customers are generally made using individual purchase orders. As a result, these customers may cancel their orders, change purchase quantities from forecast volumes, delay purchases for a number of reasons beyond the Company’s control or change other terms of the business relationship. Significant or numerous cancellations, reductions, delays in purchases or changes in business practices by customers could have a material adverse effect on the Company’s business, results of operations and financial condition. In addition, because many of the Company’s costs are fixed, a reduction in customer demand due to decreased sales to end consumers could have an adverse effect on the Company’s profitability. The retail landscape in many of the Company’s markets continues to be impacted by the rapid growth of e-commerce retailers, changing consumer preferences (including shopping online and through mobile commerce and social applications) and the emergence of alternative retail channels, such as subscription services and direct-to-consumer businesses. The rapid growth in e-commerce and emergence of alternative retail channels may adversely affect the Company’s relationships with its key retailers, whereby the number of products it sells will no longer be a reliable indicator of the amount of future business the Company can expect.</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depends on a continuous flow of new orders from large, high-volume retail customers; however, the Company may be unable to continually meet the needs of these customers. Retailers are increasing their demands on suppliers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left="660" w:righ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lead times for product delivery, which may require the Company to increase inventories and could impact the timing of reported sales;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customer service; and</w:t>
      </w:r>
    </w:p>
    <w:p>
      <w:pPr>
        <w:spacing w:after="0" w:line="9" w:lineRule="exact"/>
        <w:rPr>
          <w:rFonts w:ascii="Times New Roman" w:cs="Times New Roman" w:eastAsia="Times New Roman" w:hAnsi="Times New Roman"/>
          <w:sz w:val="18"/>
          <w:szCs w:val="18"/>
          <w:color w:val="auto"/>
        </w:rPr>
      </w:pPr>
    </w:p>
    <w:p>
      <w:pPr>
        <w:ind w:left="660" w:right="6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new technologies including those related to inventory management such as Radio Frequency Identification, otherwise known as RFID technology, which may have substantial implementation costs.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any assurance that it can continue to successfully meet the needs of its customers or that customer demand will remain consistent. A substantial decrease in sales to any of its major customers and an inability to adapt to the emergence of alternative retail channels could have a material adverse effect on the Company’s business, results of operations and financial condition.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unable to innovate and commercialize a continuing stream of new products that create demand, the Company’s ability to compete in the marketplace and financial results may be adversely impacted.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strategy includes investment in new product development and a focus on innovation. Its long-term success in the competitive retail environment and the industrial and commercial markets depends on its ability to develop and commercialize a continuing stream of innovative new products and line extensions that create demand. The Company’s ability to quickly innovate in order to adapt its products to meet changing consumer demands is essential, especially in light of e-commerce significantly reducing the barriers for even small competitors to quickly introduce new brands and products directly to consumers. New product development and commercialization efforts, including efforts to enter markets or product categories in which the Company has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The Company also faces the risk that its competitors will introduce innovative new products that compete with the Company’s products. In addition, sales generated by new products or line extensions could cause a decline in sales of the Company’s existing products. If new product development and commercialization efforts are not successful, the Company’s financial results could be adversely affected.</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does not continue to develop and maintain leading brands or realize the anticipated benefits of advertising and promotion spend over the long term, its operating results may suffer.</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compete successfully also depends increasingly on its ability to develop and maintain leading brands that consumers choose and prefer. Leading brands allow the Company to compete at desirable price levels and to realize economies of scale in its operations. The development and maintenance of such brands require significant investment in brand-building and marketing initiatives. Over the long term, these initiatives may not deliver the anticipated results and the results of such initiatives may not cover the costs of the increased investment.</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Failure to further expand the Company’s e-commerce business, despite e-commerce investments, may materially and adversely affect the Company’s market position, net sales and financial performance.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industry has rapidly evolved, and consumers have embraced shopping online and through mobile commerce and social applications. As a result, the portion of total consumer expenditures with retailers occurring through digital platforms is increasing, and the pace of this increase has accelerated. At the same time, the portion of retail business at traditional “brick and mortar” stores and shopping centers has decreased.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strategy includes investments in e-commerce, omni-channel and technology initiatives. If these investments fail to adequately or effectively allow the Company to further expand its e-commerce business, maintain or grow its overall market position or otherwise benefit the Company, the Company’s market position, net sales and financial performance could be adversely affected. In addition, a greater concentration of e-commerce sales could result in a reduction in sales by the Company’s other customers, which could, if not offset by a greater increase in e-commerce sales, materially adversely affect the business of the Company.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cost of certain e-commerce, omni-channel and technology investments may adversely impact the Company’s financial performance in the short and long-term. There can be no assurance that investments in e-commerce and omni-channel infrastructure and technology will result in increased sales through e-commerce or otherwise.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plans to execute its turnaround plan and restructuring initiatives, improve productivity, reduce complexity and costs may not be successful, which would materially adversely affect its financial results.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is executing a turnaround plan to build a global, next generation consumer products company that can unleash the full potential of its brands in a fast-moving omni-channel environment. The Company is implementing various global initiatives in connection with the turnaround plan to reduce costs and improve cash flows, as further described in </w:t>
      </w:r>
      <w:r>
        <w:rPr>
          <w:rFonts w:ascii="Times New Roman" w:cs="Times New Roman" w:eastAsia="Times New Roman" w:hAnsi="Times New Roman"/>
          <w:sz w:val="18"/>
          <w:szCs w:val="18"/>
          <w:i w:val="1"/>
          <w:iCs w:val="1"/>
          <w:color w:val="auto"/>
        </w:rPr>
        <w:t>Item 1- Business Strategy.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initiatives may not be substantially completed in the expected timeframe, may be more costly to implement than expected, or may not fully achieve the anticipated cost savings. Such initiatives involve a significant amount of capital expenditures, organizational change and execution risk, which could have a negative impact on employee engagement, divert management’s attention from other initiatives, and if not properly managed, impact the Company’s ability to retain key employees, cause disruptions in the Company’s day-to-day operations and have a negative impact on the Company’s financial results. In addition, the Company’s ongoing review of its operating footprint and non-core brands will likely result in future restructuring charges.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 Company has pursued and may continue to pursue acquisitions of brands, businesses, or technologies from third parties. The Company’s success depends on its ability to integrate such acquired brands, businesses, or technologies, to continuously improve its manufacturing operations to gain efficiencies, to reduce supply chain costs and to streamline and redeploy nonstrategic selling, general and administrative expenses in order to produce products at a best-cost position and allow the Company to invest in innovation and brand building, including advertising and promotion. Future acquisitions could result in substantial additional debt, exposure to contingent liabilities, such as litigation or earn-out obligations, the potential impairment of goodwill or other intangible assets, or significant integration and transaction costs.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operations are dependent upon third-party vendors and suppliers whose failure to perform adequately could disrupt the Company’s business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sources a significant portion of parts and products from third parties. The Company’s ability to select and retain reliable vendors and suppliers who provide timely deliveries of quality parts and products will impact the Company’s success in meeting customer demand for timely delivery of quality products.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third-party suppliers to timely deliver finished goods and/or raw materials, and the ability of the Company’s own facilities to timely deliver finished goods, may be affected by events beyond their control, such as inability of shippers to timely deliver merchandise due to work stoppages or slowdowns, demand volatility or port congestion, disruption from geopolitical conflicts, unavailability of shipping containers or other equipment, or significant weather and health conditions affecting manufacturers and/or shippers. Any adverse change in the Company’s relationships with its third-party suppliers, the financial condition of third-party suppliers, the ability of third-party suppliers to manufacture and deliver outsourced parts or products on a timely basis, or the Company’s ability to import products from third-party suppliers or its own facilities could have a material adverse effect on the Company’s business, results of operations and financial condition.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financial condition of the Company’s vendors and suppliers may be adversely affected by general economic conditions, such as credit difficulties and the uncertain macroeconomic environment. In some instances, the Company maintains single-source or limited-source sourcing relationships, either because multiple sources are not available or the relationship is advantageous due to performance, quality, support, delivery, capacity or price considerations. For example, the Baby business unit within the Company’s L&amp;D segment has a single source of supply for products that comprise a majority of its sales and which owns intellectual property rights in respect to many of those products. Any inability of the Company’s vendors and suppliers to timely deliver quality parts and products or any unanticipated change in supply, quality or pricing of products could be disruptive and costly to the Company. The Company may not be able to quickly or effectively replace any of its suppliers if the need arose, and it may be difficult to retrieve tooling and molds possessed by any of its third-party suppliers. The Company’s dependence on these few suppliers could also adversely affect its ability to react quickly and effectively to changes in the market for its products.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use artificial intelligence in its business, and challenges with properly managing its use could result in reputational harm, competitive harm, and legal liability, and could adversely affect the Company’s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use of artificial intelligence (“AI”) tools in its operations and systems poses inherent risk and could adversely affect the Company’s operations and financial conditions. The Company’s success may increasingly become dependent on its ability to effectively leverage AI to support its operational efficiencies, such as in supply chain and support functions, and its product development and marketing capabilities. The Company may be outpaced by its competitors in their more successful or earlier adoption of AI solutions, which could negatively affect the Company’s commercial competitiveness. Use of AI exposes the Company to risks that such AI solutions may be deficient, produce inaccurate or misleading output, become inoperable or subject the Company to cybersecurity and data privacy breaches, all of which could lead to operational disruptions, flawed decision-making, increased costs, and an inhibited ability to improve product development and marketing through the use of AI, and could</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impact the Company’s operational effectiveness and financial condition. Additionally, the use of certain AI solutions could put the Company’s own information and intellectual property rights at risk, or expose the Company to risk of infringing third parties’ intellectual property or other rights. The global legal, regulatory, and ethical landscape surrounding AI is rapidly evolving and remains uncertain, which creates continued compliance risk and may incur additional operational costs associated with the Company’s use of AI, may limit the Company’s ability to fully develop or use AI solutions as intended, and may further cause legal repercussions and brand or reputational harm to the Company.</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cyber-attack or failure of one or more key information technology systems, networks, processes, associated sites or service providers could have a material adverse impact on the Company’s business or reputation.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relies extensively on information technology (“IT”) systems, networks and services, including Internet sites, data hosting and processing facilities and tools and other hardware, software and technical applications and platforms, some of which are managed, hosted, provided and/or used by third parties or their vendors, to assist in conducting business. The various uses of these IT systems, networks and services include, but are not limited to:</w:t>
      </w: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and managing materials from suppliers;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materials to finished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products to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products to consumers;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and reporting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processing and sharing confidential and proprietary research, business plans and financial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legal or tax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data security;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other processes necessary to manage the Company’s business.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Increased IT security threats and cyber-crime, including advanced persistent threats, computer viruses, ransomware, other types of malicious code, hacking, phishing, use of AI and social engineering schemes designed to gain unauthorized access to the Company’s networks or data, pose a potential risk to the security of the Company’s IT systems, networks and services, as well as the confidentiality, availability and integrity of the Company’s data. Cyber threats are becoming more sophisticated, are constantly evolving and are being made by groups and individuals with a wide range of expertise and motives, increasing the difficulty of detecting and successfully defending against them. The Company deploys technical and organizational measures to protect and prevent unauthorized access to or loss of data; however, as techniques used to obtain unauthorized access or to sabotage systems change frequently and generally are not recognized until launched against a target, the Company may be unable to anticipate these techniques or implement preventive measures. Furthermore, the Company’s relationships with, and access provided to, third parties and their vendors may create difficulties in anticipating and implementing adequate preventive measures or fully mitigating harms after an attack or breach occurs.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cannot guarantee that its security efforts will prevent attacks and resulting breaches or breakdowns of the Company’s, or its third-party service providers’ databases or systems notwithstanding whether the Company takes reasonable steps to prevent such attacks. The Company’s operations, especially its retail operations, involve the storage and transmission of employees’, customers’ and consumers’ personal and sensitive information, such as credit card and bank account numbers. The Company’s payment services may be subject to credit card and other payment fraud schemes, including unauthorized use of credit cards, debit cards or bank account information, identity theft or merchant fraud. If the IT systems, networks or service providers relied upon fail to function properly, or if the Company suffers a loss or disclosure of customers’ and consumers’ data, business or stakeholder information, due to any number of causes, ranging from catastrophic events to power outages to security breaches, or the inability to effectively address these failures on a timely basis, the Company may suffer interruptions in its ability to manage operations, a risk of government enforcement action, litigation and possible liability, and reputational, competitive and/or business harm, which may adversely impact the Company’s results of operations and/or financial condition. In addition, if the Company’s service providers, suppliers or customers experience a breach or unauthorized disclosure or system failure, their businesses could be disrupted or otherwise negatively affected, which may result in a disruption in the Company’s supply chain or reduced customer orders or other business operations, which could adversely affect the Company.</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face particular data protection and privacy risks in connection with the European Union’s Global Data Protection Regulation, the California Consumer Privacy Act and other privacy laws and regulations.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The Company may be subject to additional regulations, such as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European Union AI Act, that specifically affect the use of personal information in the context of AI systems. The changes introduced by these laws and regulations increase the complexity of regulations enacted to protect business and personal data, subject the Company to additional costs and have required, and may in the future require, costly changes to the Company’s security systems, policies, procedures and practices.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operating results can be adversely affected by inflation, changes in the cost or availability of raw materials, labor, energy, transportation and other necessary supplies and services, as well as the impact of tariffs.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success is dependent, in part, on its continued ability to reduce its exposure to or mitigate the impact of increases in the cost of raw materials, finished goods, energy, transportation and other necessary supplies and services through a variety of programs, including periodic purchases, future delivery purchases, long-term contracts, sales price adjustments and certain derivative instruments, while maintaining and improving margins and market share. Significant inflation in the costs of labor, finished goods, raw materials, energy and transportation has negatively impacted, and may continue to negatively impact, the Company’s results of operations. There is no assurance that we will be able to fully offset any such cost increases through cost reduction programs or price increases of our products, especially given the competitive environment. If we generally are not able to sufficiently increase our pricing to offset these increased costs or if increased costs and prolonged inflation were to occur, it could materially and adversely affect our business, operating results and profitability. Sustained price increases may lead to declines in volume as competitors may not adjust their prices or customers may decide not to pay the higher prices, which could lead to sales declines and loss of market share. While we seek to project tradeoffs between price increases and volume, our projections may not accurately predict the volume impact of price increases. Conversely, when raw material prices decline, customer demands for lower prices could result in lower sale prices and, to the extent the Company has existing inventory, lower margins. As a result, fluctuations in raw material prices could have a material adverse effect on the Company’s business, results of operations and financial condition.</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some of the products the Company manufactures require particular types of glass, metal, paper, plastic, resin, wax, wood or other materials. Supply shortages for a particular type of material can delay production or cause increases in the cost of manufacturing the Company’s products. Pricing and availability of finished goods, raw materials, energy, transportation and other necessary supplies and services for use in the Company’s businesses can be volatile due to numerous factors beyond its control, including general, domestic and international economic conditions, natural disasters, labor costs, production levels, competition, consumer demand, import duties and tariffs, currency exchange rates, international treaties, and changes in laws, regulations, and related interpretations.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evolving trade policies could continue to make sourcing products from foreign countries difficult and costly, as the Company sources a significant amount of its products from outside of the U.S. For example, in early 2025, the current U.S. presidential administration announced significant new tariffs on foreign imports into the U.S., specifically from Mexico and Canada, all of which were subsequently postponed prior to becoming effective, and China, and has proposed additional new tariffs that may be implemented in the future. Given the Company’s reliance upon non-domestic suppliers, any significant changes to the U.S. trade policies (and those of other countries in response) or changes without sufficient notice may cause a material adverse effect on its ability to source products from other countries or significantly increase the costs of obtaining such products, which could result in a material adverse effect on our financial results.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Any new or additional tariffs on goods imported to the U.S. from China, Mexico, Canada, or other countries, or products imported into the European Union or other non-U.S. markets, could also increase the cost of some of our products and reduce our margins.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shifts in industry-wide demand for the Company’s products could result in inventory valuation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ending inventories for excess quantities, impairment of value, and obsolescence. This evaluation includes analysis of sales levels by product and projections of future demand based upon input received from our customers, sales team, and management. If inventories on hand are in excess of demand or slow moving, appropriate write-downs may be recorded. In addition, the Company writes off inventories that are considered obsolete based upon changes in customer demand, product design changes including those required by new product regulation, that result in existing inventory obsolescence, or new product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introductions, which eliminate demand for existing products. Remaining inventory balances are adjusted to approximate net realizable market value.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future demand or market conditions are less favorable than the Company’s estimates, including the volatility of customer demand patterns and the impact of retailer inventory rebalancing in response to soft global demand, write-downs may be required. The Company cannot be certain that obsolete or excess inventories, which may result from unanticipated changes in the estimated total demand for its products, will not affect it beyond the inventory charges that have already been recorded.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not be able to attract, retain and develop key talent.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ability to successfully execute its turnaround plan and its future performance depends in significant part upon the continued service of its executive officers and other key leaders. The loss of the services of one or more executive officers or other key employees could have a material adverse effect on the Company’s business, prospects, financial condition and results of operations. The Company’s success also depends, in part, on its continuing ability to attract, retain and develop highly qualified talent deeper in the organization.</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competition for talent is intense and has increased in recent years amidst emerging labor trends, including but not limited to expanded remote work options. There can be no assurance that the Company can attract, engage or retain its key employees or highly qualified talent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Damage to the Company’s reputation or loss of consumer confidence could have an adverse effect on the Company’s business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Maintaining the Company’s strong reputation with consumers, customers and suppliers worldwide is critical to the Company’s continued success. Adverse publicity about the Company, its brands, corporate practices, or any other issue that may be associated with the Company, whether or not deserved, could jeopardize that reputation. Such adverse publicity could come from traditional sources such as government investigations or public or private litigation, but may also arise from negative comments on social media regarding the Company or its brands.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due to the scale and scope of our business, we must rely on relationships with third parties, including our suppliers, distributors, contractors, and other external business partners for certain functions. While we have policies and procedures for managing these relationships, they inherently involve less control over business operations, governance, and compliance, thereby potentially increasing our reputational and legal risk. If third parties fail to comply with our policies and procedures or similar compliance requirements set forth by our customers, the Company could potentially suffer significant losses of business and revenue from certain customers.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third parties sell counterfeit or materially altered versions of some of our products, which are often inferior or may pose safety risks. As a result, consumers of our brands could confuse our products with these counterfeit products, which could cause them to refrain from purchasing our brands in the future and in turn could impair our brand equity.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Finally, there has been an increased focus from certain investors, customers, consumers, employees, and other stakeholders concerning corporate citizenship and sustainability matters. From time to time, the Company announces certain initiatives regarding its focus areas, which may include environmental matters, human capital, sustainability, packaging, responsible sourcing and social investments. In 2024, the Company published its Corporate Citizenship Report which included updates on many of these focus areas and goals for certain areas. The Company could fail, or be perceived to fail, in its achievement of such initiatives and goals or it could fail in accurately reporting its progress on such initiatives and goals. In addition, the Company could be criticized for the scope of such initiatives or perceived as not acting responsibly in connection with these matters. The Company’s reputation and business could be negatively impacted by such developments or litigation may be filed against the Company resulting in significant expenses or investments to repair such impacts.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Damage to the Company’s reputation or a loss of consumer confidence in the Company’s brands could adversely affect the Company’s business, results of operations, cash flows and financial condition as well as require resources to repair the 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deterioration in labor relations could adversely impact the Company’s global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approximately 23,700 employees worldwide, a portion of which are covered by collective bargaining agreements or are located in countries that have collective arrangements decreed by statute. The Company periodically negotiates with certain unions and labor representatives and may be subject to work stoppages or may be unable to renew such collective bargaining agreements on the same or similar terms, or at all.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strength of global retail, commercial and industrial sectors and changes in foreign, cultural, political and financial market conditions could impair the Company’s international operations and financial performance.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depends on the strength of the retail, commercial and industrial sectors of the economy in various parts of the world, primarily in North America, and to a lesser extent Europe, Latin America and the Asia Pacific region. These sectors of the economy are affected primarily by factors such as consumer demand and the condition of the retail industry, which, in turn, can be affected by specific events or general economic conditions, including worldwide or country-specific economic instability.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Continuing challenging global economic conditions, particularly outside of the U.S., and potential volatility in domestic and/or foreign equity markets, may result in considerable pressure on consumer demand, which may have an adverse effect on demand for the Company’s products, as well as its financial condition and results of operations. The Company could also be negatively impacted by economic crises in specific countries or regions. Such events could negatively impact the Company’s overall liquidity and/or create significant credit risks relative to its local customers and depository institutions. Consumer demand and the condition of these sectors of the economy may also be impacted by other external factors such as war, terrorism, geopolitical uncertainties, public health issues, natural disasters and other business interruptions. The impact of these external factors is difficult to predict, and one or more of these factors could adversely impact the Company’s business.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some of the Company’s operations are conducted or products are sold in countries where economic growth has slowed, or where economies have suffered economic, social and/or political instability or hyperinflation; or where the ability to repatriate funds has been significantly delayed or impaired. Current government economic and fiscal policies in these economies, including stimulus measures and currency exchange rates and controls, may not be sustainable and, as a result, the Company’s sales or profits related to those countries may decline. The economies of other foreign countries important to the Company’s operations could also suffer slower economic growth or economic, social and/or political instability or hyperinflation in the future. The Company’s international operations (and particularly its business in emerging markets), including manufacturing and sourcing operations (and the international operations of the Company’s customers), are subject to inherent risks which could adversely affect the Company, including, among other things:</w:t>
      </w:r>
    </w:p>
    <w:p>
      <w:pPr>
        <w:spacing w:after="0" w:line="219"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restricting or impairing the manufacturing, sales or import and export of the Company’s products, including tariffs and countermeasures;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restrictions on access to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developed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hyperinflation) or recession;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devaluations or fluctuations in the value of currencies;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burdens and costs of compliance with a variety of laws and regulations, including the Foreign Corrupt Practices Act, tax laws, accounting standards, trade protection measures and import and export licensing requirements, environmental laws and occupational health and safety laws;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political or economic instability;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and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of funds and/or exchange of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assets or forced relocations of operations;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adverse changes in policies, including monetary, tax and/or lending policies, encouraging foreign investment or foreign trade by host countries.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global operations expose us to risks associated with public health crises, such as pandemics and epidemics, which could harm our business and cause our operational results to suffer.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if a potential devaluation of the local currencies of our international customers relative to the U.S. dollar occurs, it may impair the purchasing</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power of our international customers and could cause international customers to decrease their volume of orders or cancel orders completely. Should any of these risks occur, the Company’s ability to manufacture, source, sell or export its products or repatriate profits could be impaired. In addition, the Company could experience a loss of sales and profitability from its international operations and/or the Company could experience a substantial impairment or loss of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has substantial indebtedness, which could materially and adversely affect the Company and its financial position, including decreasing its business flexibility, impacting its ratings and increasing its borrowing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Company had $4.6 billion in outstanding debt, reflecting a decrease of approximately $300 million versus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substantial indebtedness has, and could continue to have, important consequences for the Company, including:</w:t>
      </w:r>
    </w:p>
    <w:p>
      <w:pPr>
        <w:spacing w:after="0" w:line="234" w:lineRule="exact"/>
        <w:rPr>
          <w:sz w:val="20"/>
          <w:szCs w:val="20"/>
          <w:color w:val="auto"/>
        </w:rPr>
      </w:pPr>
    </w:p>
    <w:p>
      <w:pPr>
        <w:jc w:val="both"/>
        <w:ind w:left="660" w:righ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dedicate a substantial portion of its cash flow from operations to payments on its indebtedness, which reduces the availability of its cash flow to fund working capital requirements, capital expenditures, future acquisitions, dividends, repurchases of the Company’s common stock and other general corporate purposes;</w:t>
      </w:r>
    </w:p>
    <w:p>
      <w:pPr>
        <w:spacing w:after="0" w:line="1"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flexibility in planning for, or reacting to, adverse business and economic conditions or changes in the Company’s business and the industries in which it operates;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Company at a competitive disadvantage compared to its competitors that have less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to borrow additional funds; and</w:t>
      </w:r>
    </w:p>
    <w:p>
      <w:pPr>
        <w:spacing w:after="0" w:line="9" w:lineRule="exact"/>
        <w:rPr>
          <w:rFonts w:ascii="Times New Roman" w:cs="Times New Roman" w:eastAsia="Times New Roman" w:hAnsi="Times New Roman"/>
          <w:sz w:val="18"/>
          <w:szCs w:val="18"/>
          <w:color w:val="auto"/>
        </w:rPr>
      </w:pPr>
    </w:p>
    <w:p>
      <w:pPr>
        <w:ind w:left="660" w:righ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comply with financial and non-financial covenants in its debt documents that may place restrictions on business activities and, if breached, subject the Company to cross-default and acceleration provisions.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Company is unable to timely reduce its level of indebtedness, the Company will be subject to increased demands on its cash resources, which could decrease its collateral coverage ratios, increase its leverage ratios, lower its credit ratings, result in a breach of covenants or otherwise adversely affect the business and financial results of the Company going forward.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majority of the Company’s debt is fixed, fluctuations in interest rates can increase borrowing costs on the portion that is variable, and interest rate increases on this portion of the Company’s debt could have a material adverse effect on the Company’s business. Increases in interest rates would raise the cost of servicing our debt and could reduce our profitability and cash flows. Any change in the fiscal policies or stated target interest rates of the U.S. Federal Reserve or other central banking institutions, or market expectations of such change, are difficult to predict and may result in significantly higher long-term interest rates. Such a transition may be abrupt and may, among other things, reduce the availability and/or increase the costs of issuing new notes, obtaining new debt and refinancing existing indebtedness.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Reductions in the Company’s credit ratings could materially and adversely affect its business, availability of future borrowings, financial condition and results of operations.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credit ratings impact the cost and availability of future borrowings and, accordingly, the Company’s cost of capital. The Company’s credit ratings reflect each rating organization’s opinion of its financial strength, operating performance and ability to meet its debt obligations. The credit ratings assigned to the Company also impact the interest rates paid on short- and long-term financing.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example, the Company’s credit ratings were downgraded in both 2024 and 2023 by each of Moody’s Corporation and S&amp;P Global Inc. which resulted in a coupon step-up of certain of the Company’s outstanding senior notes. In addition, credit ratings can also affect the terms of debt agreements to include more restrictive covenants which may further restrict our business operations or limit our ability to raise additional capital due to our covenant restrictions then in effect. For example, in November 2024, the Company issued $750 million of aggregate principal amount of 6.375% senior notes due 2030 and $500 million of aggregate principal amount of 6.625% senior notes due 2032, and such notes contain covenants that are more restrictive than the senior notes that the Company has historically issued. There is no guarantee that debt or equity financings will be available in the future to fund future acquisitions, developments, or general operating expenses, or that such financing will be available on terms consistent with our historical agreements or expectations. See </w:t>
      </w:r>
      <w:r>
        <w:rPr>
          <w:rFonts w:ascii="Times New Roman" w:cs="Times New Roman" w:eastAsia="Times New Roman" w:hAnsi="Times New Roman"/>
          <w:sz w:val="18"/>
          <w:szCs w:val="18"/>
          <w:i w:val="1"/>
          <w:iCs w:val="1"/>
          <w:color w:val="auto"/>
        </w:rPr>
        <w:t>Liquidity and Capital Resources in Item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 9 of the Notes to the Consolidated Financial Statements</w:t>
      </w:r>
      <w:r>
        <w:rPr>
          <w:rFonts w:ascii="Times New Roman" w:cs="Times New Roman" w:eastAsia="Times New Roman" w:hAnsi="Times New Roman"/>
          <w:sz w:val="18"/>
          <w:szCs w:val="18"/>
          <w:color w:val="auto"/>
        </w:rPr>
        <w:t xml:space="preserve"> for further discussion.</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Failure to maintain effective internal control over financial reporting could result in material misstatements in our financial statements, and our failure to meet our reporting and financial obligations, which in turn could have a negative impact on our financial condition.</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required by the SEC to establish and maintain effective internal control over financial reporting that provides reasonable assurance regarding the reliability of its financial reporting and the preparation of financial statements in accordance with U.S. GAAP. Our internal control over financial reporting may not prevent or detect misstatements because of its inherent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limitations, including the possibility of human error, the circumvention or overriding of controls, or fraud. Effective internal controls can provide only reasonable assurance with respect to the preparation and fair presentation of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experienced, and in the future may experience again, material weaknesses along with potential problems implementing and maintaining adequate internal controls. Failure to maintain effective internal controls, including any failure to implement required new or improved controls, could result in our inability to conclude that the Company has effective internal control over financial reporting. If the Company cannot meet its financial reporting obligations in a timely and reliable manner, or prevent fraud, the public perception of the Company and its securities may be harmed, and it may be unable to raise capital on favorable terms in the future or otherwise, which could have a negative impact on the Company’s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Continued declines in the future expected cash flows for the Company’s businesses or changes to underlying assumptions used to calculate fair value could result in additional impairment charges which could have a material adverse effect on the Company’s financial results of operations.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required under U.S. GAAP to review its long-lived assets for impairment when events or changes in circumstances indicate the carrying value may not be recoverable, and is also required to conduct impairment tests on goodwill and other indefinite-lived intangible assets annually or more frequently, if circumstances indicate that the carrying value may not be recoverable or that an other-than-temporary impairment exists.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years ended December 31, 2024, 2023 and 2022, the Company recorded non-cash impairment charges related to goodwill and indefinite-lived intangibles of $345 million, $339 million and $474 million, respectively. Future events or factors may occur that could adversely affect the fair value of the Company’s assets and require impairment charges, including, but not limited to, divestitures of certain businesses or product lines, strategic decisions made in response to changes in economic and competitive conditions, the impact of the economic environment on the Company’s sales and customer base, a material adverse change in the Company’s relationship with significant customers or business partners, or a sustained decline in the Company’s stock price. In the event any such impairment indicators become known or are present, the Company may be required to perform impairment tests based on changes in the economic environment and other factors, and these tests could result in impairment charges in the future. As there is minimal difference between the estimated fair values and the carrying values of some of the Company’s intangible assets as a result of recent impairment charges, future impairment charges may occur.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Footnotes 1 and 7 of the Notes to Consolidated Financial Statements</w:t>
      </w:r>
      <w:r>
        <w:rPr>
          <w:rFonts w:ascii="Times New Roman" w:cs="Times New Roman" w:eastAsia="Times New Roman" w:hAnsi="Times New Roman"/>
          <w:sz w:val="18"/>
          <w:szCs w:val="18"/>
          <w:color w:val="auto"/>
        </w:rPr>
        <w:t xml:space="preserve"> for further discussion.</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exposed to both foreign currency translation and transaction risks that may materially adversely affect the Company’s operating results, financial condition and liquidity.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currency for the Company’s financial statements is the U.S. dollar and it has substantial assets, liabilities, revenues and costs denominated in currencies other than U.S. dollars. The preparation of the Company’s Consolidated Financial Statements requires translation of those assets, liabilities, revenues and expenses into U.S. dollars at then-applicable exchange rates. Consequently, increases and decreases in the value of the U.S. dollar versus other currencies will affect the amount of these items in the Company’s Consolidated Financial Statements, even if their value has not changed in their original currency. These translations could result in significant changes to the Company’s results of operations from period to period. Although the Company may employ, at times, a variety of techniques to mitigate the impact of exchange rate fluctuations, including foreign currency hedging activities, it cannot guarantee that such risk management strategies will be effective, and its financial condition or results of operations could be adversely impacted.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foreign currency transaction risk arises when the Company and its subsidiaries enter into transactions where the settlement occurs in a currency other than its functional currency. The Company continues to recognize foreign exchange losses related to the currency devaluation in Argentina and its designation as a hyperinflationary economy. Exchange differences (gains and losses) arising on the settlement of monetary items or on translation of monetary items at rates different from those at which they were translated on initial recognition during the period or in previous financial statements are recognized in the Consolidated Statements of Operations in the period in which they arise. Although the Company may employ, at times, a variety of techniques to mitigate the impact of foreign currency transaction risk, including the hedging of forecasted cash inflows and outflows, it cannot guarantee that such risk management strategies will be effective, and its financial condition or results of operations could be adversely impacted. See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Footnote 10 of the Notes to Consolidated Financial Statements </w:t>
      </w:r>
      <w:r>
        <w:rPr>
          <w:rFonts w:ascii="Times New Roman" w:cs="Times New Roman" w:eastAsia="Times New Roman" w:hAnsi="Times New Roman"/>
          <w:sz w:val="18"/>
          <w:szCs w:val="18"/>
          <w:color w:val="auto"/>
        </w:rPr>
        <w:t>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Circumstances associated with divestitures and brand or product line exits could adversely affect the Company’s results of operations and financial condition.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decide to sell or discontinue or exit certain brands, businesses or product lines in the future based on an evaluation of performance and strategic fit. Divestitures or discontinuations of businesses or products may result in asset impairments, including those related to goodwill and other intangible assets, and losses upon disposition, both of which could have an adverse effect on the Company’s results of operations and financial condition. In addition, the Company may encounter difficulty in finding buyers or executing alternative exit strategies at acceptable prices and terms and in a timely manner, and prospective buyers may have difficulty obtaining financing. Past and future divestitures and business discontinuations also involve additional risks, including the following:</w:t>
      </w:r>
    </w:p>
    <w:p>
      <w:pPr>
        <w:spacing w:after="0" w:line="21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separation of operations, services, products and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certain current or future liabilities in order to induce a buyer to complete a divestiture;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the Company’s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litigation with the buyers.</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not be successful in managing these or any other significant risks that it may encounter in divesting, discontinuing or exiting a brand, business or product line, which could have a material adverse effect on its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Tax and Regulatory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Governmental investigations or actions by other third parties could have a material adverse effect on management and the Company’s business operations.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is subject to various federal, state and foreign laws and regulations. As further described in </w:t>
      </w:r>
      <w:r>
        <w:rPr>
          <w:rFonts w:ascii="Times New Roman" w:cs="Times New Roman" w:eastAsia="Times New Roman" w:hAnsi="Times New Roman"/>
          <w:sz w:val="18"/>
          <w:szCs w:val="18"/>
          <w:i w:val="1"/>
          <w:iCs w:val="1"/>
          <w:color w:val="auto"/>
        </w:rPr>
        <w:t>Footnote 18 of the Notes to the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Company is also subject to third party litigation. The potential outcomes of third-party litigation, if insured, could exceed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limits, resulting in significant costs and expenses. The Company could be responsible for any settlement or judgment over the amount of available insurance coverage or for the entire settlement or judgment, if not insured. The Company is also subject to formal and informal regulatory and governmental examinations, subpoenas, requests for documents, testimony or information, inquiries, investigations, threatened legal actions and proceedings. For example, in 2023, the Company entered into a settlement with the SEC, which concluded an investigation primarily relating to the Company’s sales practices and certain accounting matters between the third quarter of fiscal year 2016 and second quarter of fiscal year 2017. Under the terms of the settlement, the Company neither admitted nor denied the SEC’s findings and agreed to pay a civil penalty of approximately $13 million. Responding to governmental investigations, voluntary document requests, subpoenas or actions by regulatory bodies is time-consuming, expensive and disruptive to the Company’s operations and could divert the attention of management and key personnel from the Company’s business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businesses and operations are subject to regulation in the U.S. and abroad.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laws, regulations and related interpretations may alter the environment in which the Company does business. This includes changes in environmental, data privacy, competitive and product-related laws, as well as changes in accounting standards, taxation and other regulations. Accordingly, the Company’s ability to manage regulatory, tax and legal matters (including environmental, human resource, product liability, patent and other intellectual property matters), and to resolve pending legal and environmental matters without significant liability could require the Company to record significant reserves in excess of amounts accrued to date or pay significant fines during a reporting period, which could materially impact the Company’s results. In addition, new regulations may be enacted in the U.S. or abroad that may require the Company to incur additional personnel-related, environmental or other costs on an ongoing basis, significantly restrict the Company’s ability to sell certain products, or incur fines or penalties for noncompliance, any of which could adversely affect the Company’s results of operations.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U.S.-based multinational company, the Company is also subject to tax regulations in the U.S. and multiple foreign jurisdictions, some of which are interdependent. For example, certain income that is earned and taxed in countries outside the U.S. may not be taxed in the U.S. until those earnings are actually repatriated or deemed repatriated. If these or other tax regulations should change, the Company’s financial results could be impacted. Furthermore, the Organization for Economic Co-operation and Development (the “OECD”) introduced a framework implementing a global minimum corporate tax of 15%, referred to as Pillar Two. Much of Pillar Two was enacted in countries outside the U.S. effective as of January 1, 2024, with certain remaining aspects effective beginning January 1, 2025 or later. In January 2025, the U.S. issued an executive order announcing opposition to aspects of these rules. While it is unlikely that the U.S. will enact legislation to adopt Pillar Two, many countries in which we operate have adopted the legislation, and other countries are in the process of introducing legislation to implement Pillar Two. The Company’s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current income tax impact of Pillar Two is immaterial, however we will continue to monitor both U.S. and international legislative developments to assess for any potential impacts.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18, 2019, the U.S. Treasury and the Internal Revenue Service (“IRS”) released temporary regulations under IRC Section 245A (“Section 245A”) as enacted by the 2017 U.S. Tax Reform Legislation (“2017 Tax Reform”) and IRC Section 954(c)(6) (the “Temporary Regulations”) to apply retroactively to the date the 2017 Tax Reform was enacted. On August 21, 2020, the U.S. Treasury and IRS released finalized versions of the Temporary Regulations (collectively with the Temporary Regulations, the “Regulations”). The Regulations seek to limit the 100% dividends received deduction permitted by Section 245A for certain dividends received from controlled foreign corporations and to limit the applicability of the look-through exception to foreign personal holding company income for certain dividends received from controlled foreign corporations. Before the retroactive application of the Regulations, the Company benefited in 2018 from both the 100% dividends received deduction and the look-through exception to foreign personal holding company income. The Company analyzed the Regulations and concluded the relevant Regulations were not validly issued. Therefore, the Company has not accounted for the effects of the Regulations in its Consolidated Financial Statements for the periods presented. If the Company’s position on the Regulations is not sustained, the Company would be required to recognize an income tax expense of approximately $180 million to $220 million related to an income tax benefit from fiscal year 2018 that was recorded based on regulations in existence at the time. In addition, the Company may be required to pay any applicable interest and penalties. The Company believes it has strong arguments in favor of its position and believes it has met the more likely than not recognition threshold that its position will be sustained. However, due to the inherent uncertainty involved in challenging the validity of regulations as well as a potential litigation process, there can be no assurances that the relevant Regulations will be invalidated or that a court of law will rule in favor of the Company.</w:t>
      </w: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resolution of the Company’s tax contingencies may result in additional tax liabilities, which could adversely impact the Company’s cash flows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is subject to income tax in the U.S. and numerous jurisdictions internationally. Significant estimation and judgment are required in determining the Company’s worldwide provision for income taxes. In the ordinary course of the Company’s business, there are many transactions and calculations where the ultimate tax determination is uncertain. The Company is regularly under audit by various worldwide tax authorities. Although the Company believes its tax estimates are reasonable, the final outcome of tax audits and related litigation could be materially different than that reflected in its historical income tax provisions and accruals. There can be no assurance that the resolution of any audits or litigation will not have an adverse effect on future operating results. See </w:t>
      </w:r>
      <w:r>
        <w:rPr>
          <w:rFonts w:ascii="Times New Roman" w:cs="Times New Roman" w:eastAsia="Times New Roman" w:hAnsi="Times New Roman"/>
          <w:sz w:val="18"/>
          <w:szCs w:val="18"/>
          <w:i w:val="1"/>
          <w:iCs w:val="1"/>
          <w:color w:val="auto"/>
        </w:rPr>
        <w:t>Footnote 12 of the Notes to the Consolidated Financial Statements</w:t>
      </w:r>
      <w:r>
        <w:rPr>
          <w:rFonts w:ascii="Times New Roman" w:cs="Times New Roman" w:eastAsia="Times New Roman" w:hAnsi="Times New Roman"/>
          <w:sz w:val="18"/>
          <w:szCs w:val="18"/>
          <w:color w:val="auto"/>
        </w:rPr>
        <w:t xml:space="preserve"> for further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incur significant costs in order to comply with environmental remediation obligations.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to operational standards, environmental laws also impose obligations on various entities to investigate and/or clean up contaminated properties or to pay for the cost of such activities, often upon parties that did not actually cause the contamination. Accordingly, the Company may be liable, either contractually or by operation of law, for investigation and/or remediation costs even if the contaminated property is not presently owned or operated by the Company, is a landfill or other location where it has disposed of wastes, or if the contamination was caused by third parties during or prior to the Company’s ownership or operation of the property. Given the nature of the past industrial operations conducted by the Company and others at these properties, there can be no assurance that all potential instances of soil or groundwater contamination have been identified, even for those properties where an environmental site assessment has been conducted. The Company does not believe that any of the Company’s existing obligations, including at third-party sites where it has been named a potentially responsible party, will have a material adverse effect upon its business, results of operations or financial condition. However, future events, such as changes in existing laws or policies or their enforcement, or the discovery of currently unknown contamination, may give rise to additional remediation liabilities that may be material. See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xml:space="preserve"> for a further discussion of these and other environmental-related matters.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involves the potential for product recalls, product liability and other claims against it, which could affect its earnings and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manufacturer and distributor of consumer products, the Company is subject to the U.S. Consumer Products Safety Act of 1972, as amended by the Consumer Product Safety Improvement Act of 2008, which empowers the U.S. Consumer Products Safety Commission to exclude from the market products that are found to be unsafe or hazardous, and similar laws under foreign jurisdictions. Under certain circumstances, the Consumer Products Safety Commission or a comparable foreign agency could require the Company to repurchase or recall one or more of its products. Additionally, other laws and agencies, such as the National Highway Traffic Safety Administration, regulate certain consumer products sold by the Company in the U.S. and abroad, and more restrictive laws and regulations may be adopted in the future. From time to time, the Company has announced voluntary recalls of its products where it has identified potential product safety concerns. When the Company is required to remove, or voluntarily removes, its products from the market, the Company might have large quantities of finished products that it is unable to sell.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Company also faces exposure to product liability claims if one of its products is alleged to have resulted in property damage, bodily injury or other adverse effects.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risk of substantial monetary judgments or fines or penalties that may result from any governmental investigations, product liability claims or regulatory actions could result in negative publicity that could harm the Company’s reputation in the marketplace, adversely impact the value of its end-user brands, or result in an increase in the cost of producing the Company’s products. Similar to product liability claims, the Company faces exposure to class action lawsuits related to the performance, safety or advertising of its products. Such class action suits could result in substantial monetary judgments and, injunctions related to the sale of products and could potentially tarnish the Company’s reputation.</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maintains product liability insurance in amounts that it believes are reasonable, that insurance is, in most cases, subject to significant self-insured retentions for which the Company is responsible, and the Company cannot assure you that it will be able to maintain such insurance on acceptable terms, if at all, in the future or that product liability claims will not exceed the amount of insurance coverage. The Company does not maintain insurance against many types of claims involving alleged product defects other than personal injury or property damage. Additionally, the Company does not maintain product recall insurance and may not have insurance coverage for claims asserted in consumer class action lawsuits that seek monetary compensation unrelated to personal injury and/or property damage, such as claims related to the marketing or warranty of the product. The Company spends substantial resources ensuring compliance with governmental and other applicable standards. However, compliance with these standards does not necessarily prevent individual or class action lawsuits, which can entail significant cost and risk. As a result, these types of claims could have a material adverse effect on the Company’s business, results of operations and financial condition.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product liability insurance program is an occurrence-based program based on its current and historical claims experience and the availability and cost of insurance. The Company currently either self-insures or administers a high retention insurance program for most product liability risks. The Company cannot give assurance that its future product liability experience will be consistent with its past experience or that claims and awards subject to self-insured retention will not be material. See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xml:space="preserve"> for a further discussion of these and other regulatory and litigation-related matters.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fails to adequately protect its intellectual property rights, competitors may manufacture and market the same or similar products, which could adversely affect the Company’s market share and results of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success with its proprietary products depends, in part, on its ability to protect its current and future technologies and products and to defend its intellectual property rights, including its patent, trade secret, copyright and trademark rights. If the Company fails to adequately protect its intellectual property rights, competitors may manufacture and market the same or similar products, or the incidence of counterfeit products may increase.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holds numerous design and utility patents covering a wide variety of products. The Company cannot be sure that it will receive patents for any of its innovations or that any existing or future patents that it receives or licenses from others will provide competitive advantages for its products. The Company also cannot be sure that competitors will not challenge and potentially invalidate any existing or future patents that the Company receives or licenses. In addition, patent rights may not prevent competitors from developing, using or selling products that are similar or functionally equivalent to the Company’s products.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found to have infringed the intellectual property rights of others or cannot obtain necessary intellectual property rights from others, its competitiveness could be negatively impaired.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found to have violated the trademark, trade secret, copyright, patent or other intellectual property rights of others, directly or indirectly, such a finding could result in the need to cease use of such intellectual property in the Company’s business, as well as the obligation to pay for past infringement. If rights holders are willing to permit the Company to continue to use such intellectual property rights, they could require a payment of a substantial amount for such continued use. Either ceasing use or paying such amounts could cause the Company to become less competitive and could have a material adverse effect on the Company’s business, financial condition, and results of operations.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the Company is not found to infringe a third party’s intellectual property rights, claims of infringement could adversely affect the Company’s business. The Company could incur significant legal costs and related expenses to defend against such claims, and the Company could incur significant costs associated with discontinuing to use, provide, or manufacture certain products, or services even if it is ultimately found not to have infringed such rights.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Climate change and increased focus by governmental and non-governmental organizations and customers on sustainability issues, including those related to climate change, may adversely affect our business and financial results.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Rising temperatures and increased frequency of extreme weather resulting from climate change could cause increased incidence of disruption to the production and distribution of our products at these locations and could subject the Company to increased operating costs and capital expenses in response thereto. The consequences of climate change could also be a direct threat to our third-party vendors, service providers or other stakeholders, including increased costs of supplies and disruptions of supply chains or IT or other necessary services for our Company.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state, and local governments, as well as some of our customers, are beginning to respond to climate change issues. This increased focus on sustainability is resulting in new legislation, regulations and customer requirements that could negatively affect us, as we may incur additional costs or be required to make changes to our operations in order to comply with any new regulations or customer requirements. Legislation or regulations that potentially impose restrictions, caps, taxes, or other controls on emissions of greenhouse gases such as carbon dioxide, a by-product of burning fossil fuels such as those used in the Company’s supply chain, could adversely affect our operations and financial results.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 specifically, legislative or regulatory actions related to climate change could adversely impact the Company by increasing our energy costs and reducing fuel efficiency and could result in the creation of substantial additional capital expenditures and operating costs in the form of taxes, emissions allowances, or required equipment upgrades. Any of these factors could impair our operating efficiency and productivity and result in higher operating costs. In addition, revenues could decrease if we are unable to meet regulatory or customer sustainability requirements. These additional costs, changes in operations, or loss of revenues could have a material adverse effect on our business, financial condition, and results of operations. Likewise, a failure to comply with any current or future sustainability-related reporting requirements, as established by regulators in the U.S., Europe and beyond, may result in loss of business, regulatory penalties, litigation, and/or reputational damage.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Expectations relating to environmental, social and governance considerations expose the Company to potential liabilities, increased costs, reputational harm and other adverse effects on the Company’s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and sustainability considerations relating to businesses, including climate change and greenhouse gas emissions, data privacy, AI and human capital. The Company makes statements about its environmental, social and governance targets, goals and initiatives that require investments and are impacted by factors that may be outside the Company’s control. In addition, some stakeholders may disagree with the Company’s goals and initiatives and the focus of stakeholders may change and evolve over time. The Company may also amend, abandon or replace its targets, goals and initiatives due to a change in strategy, reduced relevance of such targets, goals and initiatives or changing market conditions, and the Company may take certain actions that stakeholders or regulators view as contrary to such targets, goals and initiatives. Stakeholders also may have very different views on where the Company’s focus on environmental, social and governance and sustainability issues should be placed, including differing views of regulators in various jurisdictions in which we operate. Any failure, or perceived failure, by the Company to achieve its targets or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materially adversely affect the Company’s business, reputation, results of operations, financial condition and stock price.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the critical importance of developing, implementing, and maintaining robust cybersecurity measures to safeguard its information systems and to protect the confidentiality, integrity, and availability of its data. Cybersecurity risks are monitored, updated on a regular basis, and integrated as part of the Company’s broader enterprise risk management process. The reporting and analysis of cybersecurity risks have also been incorporated within the Company’s disclosure controls and procedures and internal disclosure committee process. The Company conducts multiple forms of cybersecurity awareness and training for employees including general cybersecurity awareness articles, role-based training, online cybersecurity awareness tools, and frequent monthly awareness presentations.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combination of internal and external resources to assess, identify, and manage material risks from cybersecurity threats. Internally, the Company leverages its global information security organization, the IT function, privacy and compliance departments, operating segments, functional areas, and its internal audit function. Given the complexity and evolving nature of cybersecurity threats, the Company also utilizes the following external resources:</w:t>
      </w:r>
    </w:p>
    <w:p>
      <w:pPr>
        <w:spacing w:after="0" w:line="20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industry research and technology firms for benchmarking and industry research;</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cybersecurity operations partners for risk detection and threat information sharing;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penetration testing companies to provide regular technical assessments of our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sharing and analysis service specific to the consumer goods industry;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assistance of its outside cybersecurity counsel.</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oversees its third-party service providers’ security posture by using an internally managed vendor security assessment process prior to vendor onboarding, with ongoing monitoring for any emerging risks. The Company supplements its internal processes with third-party security partners that provide risk measurements for third parties.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While the Company has not encountered cybersecurity risks that have materially affected or are reasonably likely to materially affect its strategy, results of operations or financial condition, there can be no guarantee that the Company will not be materially affected by such cybersecurity risks or a cybersecurity incident in the future. For a discussion of cybersecurity risks and incidents that may impact the Company, refer to preceding section </w:t>
      </w:r>
      <w:r>
        <w:rPr>
          <w:rFonts w:ascii="Times New Roman" w:cs="Times New Roman" w:eastAsia="Times New Roman" w:hAnsi="Times New Roman"/>
          <w:sz w:val="18"/>
          <w:szCs w:val="18"/>
          <w:i w:val="1"/>
          <w:iCs w:val="1"/>
          <w:color w:val="auto"/>
        </w:rPr>
        <w:t>Item 1A. Risk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provides oversight of risks from cybersecurity threats through its Audit Committee. The Company’s Chief Information Security Officer provides regular quarterly updates on material cybersecurity risks, performance and material risk related metrics, and material risk mitigation strategies. These reviews help to inform the Audit Committee, identify areas for improvement and help align the Company’s cybersecurity risk management efforts with overall enterprise risk management. The Audit Committee incorporates this information into its regular reporting to the Board of Directors.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plays a critical role in assessing and managing cybersecurity risks. The Newell Brands Information Security program is led by the Company’s Chief Information Security Officer, a Certified Information Systems Security Professional (CISSP) with over 20 years of experience in cybersecurity gained at four global Fortune 500 companies, and the Company’s Chief Information Officer who has overseen the Company’s security function for the past 12 years. The Newell Brands Information Security program is governed by the Information Security Governance Committee (the “ISG Committee”), comprised of the Chief Information Security Officer (its Chair), Chief Financial Officer, Chief Legal and Administrative Officer, Chief Human Resources Officer, Chief Information Officer, and Vice President of Internal Audit and SOX. The ISG Committee meets quarterly to discuss material risks, material risk related metrics, and material risk mitigating strategies and conducts tabletop exercises.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ISG Committee, Company management is informed about and monitors material cybersecurity risks and incidents through the following formal processes:</w:t>
      </w:r>
    </w:p>
    <w:p>
      <w:pPr>
        <w:spacing w:after="0" w:line="18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Newell Brands Incident Response Policy and Procedures and related response and governance protocols for high severity incidents;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Information Security program presentations to leadership;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Information Security Officer material incident notifications to Company management, including the President and CEO.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outputs from the management processes above are synthesized into the above-mentioned reporting to the Audit Committee of the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primary corporate offices are located in a leased office space in Atlanta, Georgia and a leased office space in Norwalk, Connecticut. At December 31, 2024, the Company’s global physical presence included approximately 40 manufacturing facilities (15 in the U.S.), approximately 60 regional distribution centers and warehouses (30 in the U.S.), approximately 105 offices for sales, research and development and administrative purposes (30 in the U.S.), as well as approximately 240 retail stores (230 in the U.S.) primarily related to Yankee Candle. Approximately 90% of our global properties are leased (90% in the U.S.), which primarily reflect the Yankee Candle retail stores.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general, the Company’s properties are well-maintained, considered adequate and are utilized for their intended purposes. See </w:t>
      </w:r>
      <w:r>
        <w:rPr>
          <w:rFonts w:ascii="Times New Roman" w:cs="Times New Roman" w:eastAsia="Times New Roman" w:hAnsi="Times New Roman"/>
          <w:sz w:val="18"/>
          <w:szCs w:val="18"/>
          <w:i w:val="1"/>
          <w:iCs w:val="1"/>
          <w:color w:val="auto"/>
        </w:rPr>
        <w:t>Footnote 6 of the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for amounts invested in land, buildings and machinery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xml:space="preserve">equipment. Also, see </w:t>
      </w:r>
      <w:r>
        <w:rPr>
          <w:rFonts w:ascii="Times New Roman" w:cs="Times New Roman" w:eastAsia="Times New Roman" w:hAnsi="Times New Roman"/>
          <w:sz w:val="18"/>
          <w:szCs w:val="18"/>
          <w:i w:val="1"/>
          <w:iCs w:val="1"/>
          <w:color w:val="auto"/>
        </w:rPr>
        <w:t>Footnote 13 of the Notes to Consolidated Financial Statements</w:t>
      </w:r>
      <w:r>
        <w:rPr>
          <w:rFonts w:ascii="Times New Roman" w:cs="Times New Roman" w:eastAsia="Times New Roman" w:hAnsi="Times New Roman"/>
          <w:sz w:val="18"/>
          <w:szCs w:val="18"/>
          <w:color w:val="auto"/>
        </w:rPr>
        <w:t xml:space="preserve"> for information about the Company’s leased properties.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legal proceedings is included in </w:t>
      </w:r>
      <w:r>
        <w:rPr>
          <w:rFonts w:ascii="Times New Roman" w:cs="Times New Roman" w:eastAsia="Times New Roman" w:hAnsi="Times New Roman"/>
          <w:sz w:val="18"/>
          <w:szCs w:val="18"/>
          <w:i w:val="1"/>
          <w:iCs w:val="1"/>
          <w:color w:val="auto"/>
        </w:rPr>
        <w:t>Footnote 18</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and is incorporated by reference herein.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SUPPLEMENTARY ITEM — INFORMATION ABOUT OUR EXECUTIVE OFFICERS: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H. Peterson</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Borders>
              <w:top w:val="single" w:sz="8" w:color="CCEEFF"/>
            </w:tcBorders>
            <w:shd w:val="clear" w:color="auto" w:fill="CCEEFF"/>
          </w:tcPr>
          <w:p>
            <w:pPr>
              <w:spacing w:after="0"/>
              <w:rPr>
                <w:sz w:val="19"/>
                <w:szCs w:val="19"/>
                <w:color w:val="auto"/>
              </w:rPr>
            </w:pPr>
          </w:p>
        </w:tc>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J. Erceg</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Bradford R. Turner</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and Administrative Officer and Corporate Secretary</w:t>
            </w: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Tracy L. Platt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P. McDermott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CEO, Home &amp; Commercial Solutions</w:t>
            </w: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Kristine K. Malkoski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CEO, Learning &amp; Development</w:t>
            </w: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Duran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CEO, Outdoor &amp; Recreation</w:t>
            </w:r>
          </w:p>
        </w:tc>
      </w:tr>
    </w:tbl>
    <w:p>
      <w:pPr>
        <w:spacing w:after="0" w:line="3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H. Peterson </w:t>
      </w:r>
      <w:r>
        <w:rPr>
          <w:rFonts w:ascii="Times New Roman" w:cs="Times New Roman" w:eastAsia="Times New Roman" w:hAnsi="Times New Roman"/>
          <w:sz w:val="18"/>
          <w:szCs w:val="18"/>
          <w:color w:val="auto"/>
        </w:rPr>
        <w:t>has been Chief Executive Officer (“CEO”) of the Company since May 2023 and President since May 2022. He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(“CFO”) of the Company between December 2018 and January 2023. Mr. Peterson also served as President, Business Operations from February 2020 to May 2022 and as Interim CEO from June 2019 until October 2019. From April 2018 to August 2018, Mr. Peterson served as the Executive Vice President and Chief Operating Officer (“COO”), Operations of Revlon, Inc., a global beauty company. Before that, Mr. Peterson served as both Revlon’s COO, Operations and CFO from June 2017 until March 2018, and as COO, Operations from April 2017 until June 2017. Prior to his positions at Revlon, Mr. Peterson held several senior management roles at Ralph Lauren Corporation, a designer, marketer, and distributor of premium lifestyle products, including serving as President, Global Brands from April 2015 to May 2016, Executive Vice President, Chief Administrative Officer &amp; CFO from November 2013 to March 2015, and Senior Vice President and CFO from September 2012 to November 2013. Previously, Mr. Peterson held several financial management positions at The Procter &amp; Gamble Company, a global consumer products company, from 1992 to 2012. Mr. Peterson serves on the Board of Directors of BJ’s Wholesale Club Holdings, Inc.</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J. Erceg </w:t>
      </w:r>
      <w:r>
        <w:rPr>
          <w:rFonts w:ascii="Times New Roman" w:cs="Times New Roman" w:eastAsia="Times New Roman" w:hAnsi="Times New Roman"/>
          <w:sz w:val="18"/>
          <w:szCs w:val="18"/>
          <w:color w:val="auto"/>
        </w:rPr>
        <w:t>has been CFO of the Company since January 2023. Previously, Mr. Erceg served as the Executive Vice President and CFO of Cerner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a health care information technology company, from February 2021 until July 2022. From October 2016 to January 2021, he served as Executive Vice President and CFO of Tiffany &amp; Company, a manufacturer and retailer of luxury jewelry. Prior to that, Mr. Erceg served as Executive Vice President and CFO of Canadian Pacific Railway from May 2015 to September 2016 and as Executive Vice President and CFO of Masonite International, a global building products company, from June 2010 to May 2015. Previously, Mr. Erceg held several financial and business management positions at The Procter &amp; Gamble Company, a global consumer products company, from 1992 to 2010.</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Bradford R. Turner </w:t>
      </w:r>
      <w:r>
        <w:rPr>
          <w:rFonts w:ascii="Times New Roman" w:cs="Times New Roman" w:eastAsia="Times New Roman" w:hAnsi="Times New Roman"/>
          <w:sz w:val="18"/>
          <w:szCs w:val="18"/>
          <w:color w:val="auto"/>
        </w:rPr>
        <w:t>has been Chief Legal and Administrative Officer and Corporate Secretary of the Company since August 2017 and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Officer and Corporate Secretary from April 2016 to August 2017. Prior to this role, he served as Senior Vice President, General Counsel, and Corporate Secretary from March 2015 to March 2016. Mr. Turner joined the Company in 2004 and has served in various legal roles including Vice President and Deputy General Counsel from October 2011 to March 2015, and Group Vice President &amp; General Counsel, Office Products, from June 2007 to October 2011.</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Tracy L. Platt </w:t>
      </w:r>
      <w:r>
        <w:rPr>
          <w:rFonts w:ascii="Times New Roman" w:cs="Times New Roman" w:eastAsia="Times New Roman" w:hAnsi="Times New Roman"/>
          <w:sz w:val="18"/>
          <w:szCs w:val="18"/>
          <w:color w:val="auto"/>
        </w:rPr>
        <w:t>has served as Chief Human Resources Officer of the Company since December 2023. Prior to joining the Company, she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Chief Human Resources Officer of Cerner Corporation, a health care information technology company, from July 2019 to August 2022. Prior to that, Ms. Platt held various human resource leadership roles between 2009 and 2019 at Medtronic Inc., a medical equipment manufacturer, including Vice President of Human Resources and integration leader during Medtronic’s $50 billion acquisition of Covidien. Earlier in her career, Ms. Platt also held human resources leadership positions at Cardinal Health, Lands’ End, and GE Healthcare.</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McDermott </w:t>
      </w:r>
      <w:r>
        <w:rPr>
          <w:rFonts w:ascii="Times New Roman" w:cs="Times New Roman" w:eastAsia="Times New Roman" w:hAnsi="Times New Roman"/>
          <w:sz w:val="18"/>
          <w:szCs w:val="18"/>
          <w:color w:val="auto"/>
        </w:rPr>
        <w:t>has served as Segment CEO, Home and Commercial Solutions of the Company since January 2023. Prior to this role, 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Unit CEO, Commercial of the Company from January 2020 through January 2023. Prior to joining the Company, Mr. McDermott served as President of Omni-Channel Retail at Bass Pro Shops in 2019. Previously, Mr. McDermott served as Executive Vice President and Chief Customer Officer at Lowe’s Companies Inc. from 2016 to 2019; Chief Merchandising Officer from 2014 to 2016; and Senior Vice President and General Merchandise Manager, Building and Maintenance from 2013 to 2014. Prior to working with Lowe’s Companies Inc., Mr. McDermott held various management roles at General Electric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Kristine K. Malkoski </w:t>
      </w:r>
      <w:r>
        <w:rPr>
          <w:rFonts w:ascii="Times New Roman" w:cs="Times New Roman" w:eastAsia="Times New Roman" w:hAnsi="Times New Roman"/>
          <w:sz w:val="18"/>
          <w:szCs w:val="18"/>
          <w:color w:val="auto"/>
        </w:rPr>
        <w:t>has served as Segment CEO, Learning and Development of the Company since January 2023. Prior to this role, she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Unit CEO, Writing of the Company from April 2022 through January 2023 and Business Unit CEO, Food of the Company from February 2020 through January 2023. Prior to joining the Company, from April 2019 to January 2020, Ms. Malkoski was Chief Executive Officer, Americas, for Arc International, a global manufacturer of glassware products for the housewares industry, where she was responsible for housewares sales, marketing, manufacturing and distribution across North and South America. From January 2015 to August 2017, Ms. Malkoski served as President, Global Business and Chief Commercial Officer for World Kitchen, a privately owned international housewares company, where she oversaw operations for its retail stores, and, previously, from June 2012 to January 2015, as President, North America, Chief Innovation Officer, and President North America Household for World Kitchen. Prior thereto, Ms. Malkoski served as Vice President and General Manager of the Craftsman division of Sears Holding Company and in various other management roles at Sears, Ubiquity Brands and Procter &amp; Gamble. From 1997 to 2002, Ms. Malkoski founded and served as President and Chief Operating Officer of Pharmaceutical Corporation of America, the first contract product management company for the prescription drug industry.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Nicolas Duran </w:t>
      </w:r>
      <w:r>
        <w:rPr>
          <w:rFonts w:ascii="Times New Roman" w:cs="Times New Roman" w:eastAsia="Times New Roman" w:hAnsi="Times New Roman"/>
          <w:sz w:val="18"/>
          <w:szCs w:val="18"/>
          <w:color w:val="auto"/>
        </w:rPr>
        <w:t>has served as Segment CEO, Outdoor and Recreation of the Company since January 2024. Prior to joining the Company, Mr. Duran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leadership roles at Dorel Industries Inc., a global manufacturer of juvenile and home products, from March 2012 to December 2023, including President and CEO, Juvenile Group from November 2016 to December 2023; President, Canada and Latin America, Dorel Juvenile from February 2015 to November 2016; and Group Chief Operating Officer, South America from March 2012 to February 2015. Mr. Duran started his career at Reebok International, which was acquired by the Adidas Group, where he spent 14 years, from 1998 to 2012, in various roles of increasing responsibility in marketing, operations and sales, including serving as Vice President, Latin America, Reebok Brand, and Vice President, Americas and Europe, the Middle East and Africa Distribution, Rockport Brand.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Stock Market (symbol: NWL). At February 10, 2025 there were 8,049 stockholders of record.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Company updated its dividend policy and reduced the quarterly dividend to reflect its updated strategy and new capital allocation framework. The Company continues to prioritize paying dividends, and the Board of Directors currently intends to declare and pay dividends based on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below compares total stockholder return on the Company’s common stock from December 31, 2019 through December 31, 2024 with the cumulative total return of the Standard and Poor’s (“S&amp;P”) SmallCap 600 Index and the Dow Jones (“DJ”) Consumer Goods Index, assuming a $100 investment made on December 31, 2019. Each of the three measures of cumulative total return assumes reinvestment of dividends, if applicable. The stock performance shown on the graph below is based on historical data and is not indicative of, or intended to forecast,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254625"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securities authorized for issuance under the Company’s equity compensation plans, see </w:t>
      </w:r>
      <w:r>
        <w:rPr>
          <w:rFonts w:ascii="Times New Roman" w:cs="Times New Roman" w:eastAsia="Times New Roman" w:hAnsi="Times New Roman"/>
          <w:sz w:val="18"/>
          <w:szCs w:val="18"/>
          <w:i w:val="1"/>
          <w:iCs w:val="1"/>
          <w:color w:val="auto"/>
        </w:rPr>
        <w:t>Security Ownership of 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and Management and Related Stockholder Matters in Item 12.</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acquisition of equity securities during the three months ended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6"/>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Dollar Value of</w:t>
            </w:r>
          </w:p>
        </w:tc>
      </w:tr>
      <w:tr>
        <w:trPr>
          <w:trHeight w:val="176"/>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Shares that May</w:t>
            </w:r>
          </w:p>
        </w:tc>
      </w:tr>
      <w:tr>
        <w:trPr>
          <w:trHeight w:val="176"/>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Yet Be Purchased</w:t>
            </w:r>
          </w:p>
        </w:tc>
      </w:t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Under the Plans</w:t>
            </w:r>
          </w:p>
        </w:tc>
      </w:tr>
      <w:tr>
        <w:trPr>
          <w:trHeight w:val="20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Calendar Month</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or Programs</w:t>
            </w:r>
          </w:p>
        </w:tc>
      </w:tr>
      <w:tr>
        <w:trPr>
          <w:trHeight w:val="37"/>
        </w:trPr>
        <w:tc>
          <w:tcPr>
            <w:tcW w:w="4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1"/>
                <w:szCs w:val="21"/>
                <w:color w:val="auto"/>
              </w:rPr>
            </w:pPr>
          </w:p>
        </w:tc>
        <w:tc>
          <w:tcPr>
            <w:tcW w:w="22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tcPr>
          <w:p>
            <w:pPr>
              <w:spacing w:after="0"/>
              <w:rPr>
                <w:sz w:val="22"/>
                <w:szCs w:val="22"/>
                <w:color w:val="auto"/>
              </w:rPr>
            </w:pPr>
          </w:p>
        </w:tc>
        <w:tc>
          <w:tcPr>
            <w:tcW w:w="192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2"/>
                <w:szCs w:val="22"/>
                <w:color w:val="auto"/>
              </w:rPr>
            </w:pPr>
          </w:p>
        </w:tc>
        <w:tc>
          <w:tcPr>
            <w:tcW w:w="1660" w:type="dxa"/>
            <w:vAlign w:val="bottom"/>
          </w:tcPr>
          <w:p>
            <w:pPr>
              <w:spacing w:after="0"/>
              <w:rPr>
                <w:sz w:val="22"/>
                <w:szCs w:val="22"/>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500" w:right="500" w:hanging="330"/>
        <w:spacing w:after="0" w:line="302"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during the three months ended December 31, 2024, were acquired by the Company based on their fair market value on the vesting date in order to satisfy employees’ tax withholding and payment obligations in connection with the vesting of awards of restricted stock units.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“Financial Statements and Supplementary Data” included in Part II, Item 8 of this Annual Report on Form 10-K and the Company’s audited Consolidated Financial Statements and Notes thereto included elsewhere in this Annual Report on Form 10-K. The “Business Strategy” and “Recent Developments” sections below are brief presentations of our business and certain significant items addressed in this section or elsewhere in this Annual Report on Form 10-K. This section should be read along with the relevant portions of this Annual Report on Form 10-K for a complete discussion of the events and items summarized below.</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over 40 of these countries, excluding third-party distributors. The Company has three operating segments: Home and Commercial Solutions (“H&amp;CS”), Learning and Development (“L&amp;D”) and Outdoor and Recreation (“O&amp;R”).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 comprehensive assessment of key capabilities, starting in the second quarter of 2023, the leadership team began implementing an integrated set of new “where to play” and “how to win” strategies designed to enable the Company to leverage the scale of the portfolio, while further building upon its operational foundation and strengthening its front-end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its strategy, the Company is focused on:</w:t>
      </w:r>
    </w:p>
    <w:p>
      <w:pPr>
        <w:spacing w:after="0" w:line="27" w:lineRule="exact"/>
        <w:rPr>
          <w:sz w:val="20"/>
          <w:szCs w:val="20"/>
          <w:color w:val="auto"/>
        </w:rPr>
      </w:pPr>
    </w:p>
    <w:p>
      <w:pPr>
        <w:ind w:left="980" w:right="660" w:hanging="243"/>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meaningful improvement in front-end capabilities, including consumer understanding, brand management, brand communications, innovation and go-to-market execution;</w:t>
      </w:r>
    </w:p>
    <w:p>
      <w:pPr>
        <w:ind w:left="980" w:hanging="243"/>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Disproportionately investing in the Company’s largest and most profitable brands, fastest-growing channels and key geographies;</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Turning the Company’s scale into a competitive advantage, enabling cost savings that provide fuel for reinvestment; and</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to a high-performance organization as the Company transforms its culture.</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27" w:name="page28"/>
    <w:bookmarkEnd w:id="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implementing this strategy while continuing to address key challenges such as shifting consumer preferences and behaviors; a highly competitive operating environment; a rapidly changing retail and consumer landscape; continued macroeconomic and geopolitical volatility; a soft macro backdrop; significant inflationary pressures on consumers and an evolving regulatory landscape.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Execution of these strategic imperatives, in combination with other initiatives aimed to build operational excellence, will better position the Company for long-term sustainable growth. One such initiative is Project Ovid which entails a multi-year, customer centric supply chain initiative which has transformed the Company’s go-to-market capabilities in the U.S., improving customer service levels and driving operational efficiencies. Project Ovid optimized the Company’s distribution network in 2022 and 2023 by creating a single integrated supply chain from 23 business-unit-centric supply chains. The initiative reduced administrative complexity, improved inventory and invoicing workflow for our customers and enhanced product availability for consumers through omni-channel enablement. This new operating model continues to drive efficiencies by better utilizing the Company’s transportation and distribution network and consolidating the number of overall distribution sites.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2023, the Company announced a restructuring and cost savings initiative that was intended to simplify and streamline its North American distribution network (the “Network Optimization Project”) in order to improve the Company’s cost structure and operating margins while maintaining focus on customer and consumer fulfillment. The Network Optimization Project incorporated a variety of initiatives, including a reduction in the overall number of distribution centers, an optimization of distribution by location, and completion of select automation investments intended to further streamline the Company’s cost structure and to maximize operating performance. These actions were substantially implemented by the end of 2024.</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Company announced a restructuring and savings initiative (“Project Phoenix”) that was intended to strengthen the Company by leveraging its scale to further reduce complexity, streamline its operating model and drive operational efficiencies. The Company commenced reducing headcount during the first quarter of 2023. Project Phoenix incorporated a variety of initiatives designed to simplify the organizational structure, streamline the Company’s real estate portfolio, centralize the Company’s supply chain functions, transition to a unified One Newell go-to-market model in key international geographies, and otherwise reduce overhead costs. These actions were substantially implemented by the end of 2023.</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the Company announced an organizational realignment (“Realignment Plan”), which was designed to strengthen the Company’s front-end commercial capabilities, such as consumer understanding and brand communication, in support of the “where to play” and “how to win” strategies the Company unveiled in June of 2023. In addition to improving accountability, the Realignment Plan was designed to unlock operational efficiencies and cost savings, reduce complexity and free up funds for reinvestment. As part of the Realignment Plan, the Company has made several operating model changes, which entailed: standing up a cross-functional brand management organization, realigning business unit finance to fully support the new global brand management model, further simplifying and standardizing regional go-to-market organizations, and centralizing domestic retail sales teams, the digital technology team, business-aligned accounting personnel, the Manufacturing Quality team, and the Human Resources functions into the appropriate center-led teams to drive standardization, efficiency and scale with a One Newell approach. The Company has also further optimized the Company’s real estate footprint and pursued other cost reduction initiatives. These actions were primarily implemented by the end of 2024. Remaining actions, subject to applicable local law and consultation requirements, are expected to be implemented by the end of fiscal year 2025.</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continues to review its operating footprint and non-core brands, which will likely result in future restructuring and restructuring-related charges.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Macroeconomic Conditions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be impacted by soft global demand, major retailers’ focus on tight control over inventory levels, inflationary pressures, fluctuating interest rates and indirect impacts from geopolitical conflicts. These collective macroeconomic trends, the duration or severity of which are highly uncertain, are rapidly changing the retail and consumer landscape and negatively impacted the Company’s operating results, cash flows and financial condition during 2024 and are to some degree expected to persist into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mitigate the negative impact of these conditions to the operating performance of its businesses, the Company has accelerated productivity initiatives, optimized advertising and promotion expenses, deployed overhead cost containment efforts, adjusted demand forecasts and supply plans, and taken actions designed to improve working capital. The Company will continue to evaluate other opportunities to improve its financial performance both in the short and long term.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Although management has made its best estimates and assumptions based upon current information, actual results could materially differ given the uncertainty of these factors and may require future changes to such estimates and assumptions, including reserves, which may result in future expense or impairment charges.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Geopolitical Conflicts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global economy has been negatively impacted by military conflicts, such as the Russia-Ukraine conflict and the conflicts in the Middle East. While the Company does not expect these conflicts to have a material impact on its results of operations, it has experienced supply chain disruptions, shortages in raw materials and increased costs for transportation, energy and commodities due in part to the negative impact of these conflicts on the global economy. Further escalation of geopolitical tensions, including increased trade barriers and restrictions on global trade, could result in, among other things, supply disruptions, lower consumer demand, and changes to foreign exchange rates and financial markets, any of which may adversely affect our business and supply chain. Additionally, if these military conflicts escalate beyond their current scope, the Company could be negatively impacted by localized or global economic recessions. See </w:t>
      </w:r>
      <w:r>
        <w:rPr>
          <w:rFonts w:ascii="Times New Roman" w:cs="Times New Roman" w:eastAsia="Times New Roman" w:hAnsi="Times New Roman"/>
          <w:sz w:val="18"/>
          <w:szCs w:val="18"/>
          <w:i w:val="1"/>
          <w:iCs w:val="1"/>
          <w:color w:val="auto"/>
        </w:rPr>
        <w:t>Results of Operations, Critical Accounting Estimates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 1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Tariffs Exposure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early 2025, the current U.S. presidential administration announced significant new tariffs on foreign imports into the U.S., specifically from Mexico and Canada, all of which were subsequently postponed prior to becoming effective, and China, and has proposed additional new tariffs that may be implemented in the future. The Company is working to determine its tariff cost exposure, and potential mitigation plans, as well as the associated timing to implement such, if any. However, the impact to the Company’s results of operations and cash flows cannot be determined at this 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Organizational Realignment Plan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2024, the Company announced the Realignment Plan, which is expected to strengthen the Company’s front-end commercial capabilities, as further described in the preceding section. The Company initiated the Realignment Plan during the first quarter of 2024. For the year ended December 31, 2024, the Company recorded restructuring and restructuring-related charges of $37 million and $15 million, respectively.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Footnote 4 of the Notes to Consolidated Financial Statements </w:t>
      </w:r>
      <w:r>
        <w:rPr>
          <w:rFonts w:ascii="Times New Roman" w:cs="Times New Roman" w:eastAsia="Times New Roman" w:hAnsi="Times New Roman"/>
          <w:sz w:val="18"/>
          <w:szCs w:val="18"/>
          <w:color w:val="auto"/>
        </w:rPr>
        <w:t>for further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2024, as part of optimizing the Company’s real estate footprint, the Company entered into a lease agreement for a new location of its corporate headquarters in Atlanta, Georgia, which will allow it to consolidate five different facilities and bring together employees in the area into a single location. Also in June 2024, the Company entered into an agreement with an unrelated third party to sell and leaseback its current headquarters facility, which transaction was finalized during the fourth quarter of fiscal year 2024. In connection with this transaction, the Company recognized a loss of $8 million, which was included in the $15 million restructuring-related charges mentioned above. The Company intends to occupy the current facility while conducting the build-out of the new facility, which is anticipated to be completed during the first half of fiscal year 2025. See </w:t>
      </w:r>
      <w:r>
        <w:rPr>
          <w:rFonts w:ascii="Times New Roman" w:cs="Times New Roman" w:eastAsia="Times New Roman" w:hAnsi="Times New Roman"/>
          <w:sz w:val="18"/>
          <w:szCs w:val="18"/>
          <w:i w:val="1"/>
          <w:iCs w:val="1"/>
          <w:color w:val="auto"/>
        </w:rPr>
        <w:t>Footnotes 4 and 13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to Consolidated Financial Statements </w:t>
      </w:r>
      <w:r>
        <w:rPr>
          <w:rFonts w:ascii="Times New Roman" w:cs="Times New Roman" w:eastAsia="Times New Roman" w:hAnsi="Times New Roman"/>
          <w:sz w:val="18"/>
          <w:szCs w:val="18"/>
          <w:color w:val="auto"/>
        </w:rPr>
        <w:t>for further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 Impairment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fourth quarter of 2024, as a result of the Company’s annual impairment testing, the Company recorded a non-cash impairment charge of $85 million related to one tradename in the H&amp;CS segment, as the carrying value of the tradename exceeded its fair value. The decline in the fair value of the tradename in the H&amp;CS segment was the result of a downward revision of forecasted revenue mainly due to a distribution loss, which the Company was informed of during the fourth quarter of 2024. During the third quarter of 2024, the Company concluded that triggering events had occurred for indefinite-lived tradenames in the H&amp;CS and L&amp;D segments as a result of downward revision of forecasted cash flows primarily due to lower volume and profitability expectations. The Company performed quantitative impairment tests and determined that indefinite-lived tradenames in the H&amp;CS and L&amp;D segments were impaired, and recorded an aggregate non-cash impairment charge of $260 million for the indefinite-lived tradenames, as the carrying values exceeded their fair values.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Footnotes 1 and 7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Redemption and Issuance</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Company repaid the outstanding aggregate principal amount of its 4.000% senior notes, plus accrued and unpaid interest upon maturity for total consideration of $205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Company completed a registered public offering and sale of $750 million of aggregate principal amount of 6.375% senior notes due 2030 (the “2030 Notes”) and $500 million of aggregate principal amount of 6.625% senior notes due 2032 (the “2032 Notes”) (collectively the “Notes”) and received proceeds of approximately $1.24 billion, net of fees and expenses paid. The Company used the proceeds of the offering to fully redeem its outstanding 4.875% senior notes due 2025 and to redeem in part its outstanding 4.200% senior notes due 2026.</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Company fully redeemed its 4.875% notes due 2025 at a redemption price equal to 100% of the outstanding aggregate principal amount of the notes, plus accrued unpaid interest to the date of the redemption. The total consideration was approximately $511 million. The Company also partially redeemed $750 million of the outstanding aggregate amount of the 4.200% senior notes due 2026 at a redemption price of 101.006%. The total consideration, including accrued unpaid interest to the date of its redemption was approximately $764 million. As a result of the aforementioned redemptions, the Company recorded a total loss on debt extinguishment of $13 million. 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Results 2024 vs.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(89.7)%</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52.1%</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w:t>
            </w: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Income tax rate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44.3%</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(0.52)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(0.94)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7% compared to prior year. Net sales were unfavorably impacted by soft global demand and net distribution losses. Product line exits negatively impacted net sales by approximately 1%, primarily in the H&amp;CS segment. These factors were partially mitigated by pricing, mainly in international markets to offset inflation and currency movement. Changes in foreign currency unfavorably impacted net sales by $234 million, or approximately 3%.</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increased 8% compared to prior year. Gross margin improved to 33.6% as compared with 28.9% in 2023. The improvement in gross margin was driven by pricing, productivity and lower restructuring-related charges of $50 million, partially offset by higher absorption cost associated with lower sales volume and inflation. Changes in foreign currency exchange rates unfavorably impacted gross profit by $121 million, or 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Notable items, other than the aforementioned, impacting operating income (loss) for 2024 and 2023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goodwill and intangible assets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Footnotes 1 and 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4)</w:t>
            </w:r>
            <w:r>
              <w:rPr>
                <w:rFonts w:ascii="Times New Roman" w:cs="Times New Roman" w:eastAsia="Times New Roman" w:hAnsi="Times New Roman"/>
                <w:sz w:val="18"/>
                <w:szCs w:val="18"/>
                <w:color w:val="auto"/>
              </w:rPr>
              <w:t xml:space="preserve"> and restructuring-related </w:t>
            </w:r>
            <w:r>
              <w:rPr>
                <w:rFonts w:ascii="Times New Roman" w:cs="Times New Roman" w:eastAsia="Times New Roman" w:hAnsi="Times New Roman"/>
                <w:sz w:val="23"/>
                <w:szCs w:val="23"/>
                <w:color w:val="auto"/>
                <w:vertAlign w:val="superscript"/>
              </w:rPr>
              <w:t>(a) (b)</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Transaction costs and other </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660" w:right="320" w:hanging="247"/>
        <w:spacing w:after="0" w:line="261" w:lineRule="auto"/>
        <w:tabs>
          <w:tab w:leader="none" w:pos="6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Restructuring-related costs reported in cost of products sold and selling, general and administrative expenses (“SG&amp;A”) and in impairment of goodwill, intangibles and other assets for 2024 were $36 million, $13 million and $8 million, respectively, and primarily relate to facility closures. Restructuring-related costs reported in cost of products sold and SG&amp;A for 2023 were $86 million and $13 million, respectively, and primarily relate to facility closures. Restructuring costs for 2024 and 2023 were $45 million and $95 million, respectively.</w:t>
      </w:r>
    </w:p>
    <w:p>
      <w:pPr>
        <w:ind w:left="660" w:right="320" w:hanging="247"/>
        <w:spacing w:after="0" w:line="254" w:lineRule="auto"/>
        <w:tabs>
          <w:tab w:leader="none" w:pos="6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Restructuring-related cost during the twelve months ended December 31, 2024 related to Project Phoenix, Network Optimization Project, Realignment Plan and other discrete programs were $8 million, $18 million, $15 million and $16 million, respectively.</w:t>
      </w:r>
    </w:p>
    <w:p>
      <w:pPr>
        <w:jc w:val="both"/>
        <w:ind w:left="660" w:right="320" w:hanging="247"/>
        <w:spacing w:after="0" w:line="265" w:lineRule="auto"/>
        <w:tabs>
          <w:tab w:leader="none" w:pos="6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and other for 2024 primarily relate to accelerated amortization and write-off of other assets associated with integration projects. Transaction costs and other reported in cost of products sold and SG&amp;A for 2024 were $11 million and $1 million, respectively. Transaction costs and other for 2023 primarily relate to completed divestitures, expenses associated with certain legal proceedings, impairment of other assets and inventory write-down due to regulatory restrictions banning the salability of certain of the Company’s products in certain jurisdictions. Transaction costs and other reported in cost of products sold, SG&amp;A and impairment of other assets for 2023 were $20 million, $23 million and $3 million,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was $67 million as compared to operating loss of $85 million in the prior year period. The improvement reflects the impact of higher gross profit of $195 million as discussed above, savings from restructuring actions primarily from Project Phoenix and the Realignment Plan, lower restructuring charges of $50 million and lower transaction costs and other of $22 million. These improvements were partially offset by higher incentive compensation expense of approximately $89 million, higher advertising and promotion costs of $46 million and $23 million of additional amortization of certain tradenames.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net increased primarily due to higher interest rates and lower interest income. The weighted average interest rates for 2024 and 2023 were approximately 5.8% and 5.2%, respectively. The loss on extinguishment and modification of debt of $14 million for 2024, is primarily related to the Company’s redemption of certain of its senior notes. 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for 2024 and 2023 include the following items: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7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 settlement and non-service costs, net (See </w:t>
            </w:r>
            <w:r>
              <w:rPr>
                <w:rFonts w:ascii="Times New Roman" w:cs="Times New Roman" w:eastAsia="Times New Roman" w:hAnsi="Times New Roman"/>
                <w:sz w:val="18"/>
                <w:szCs w:val="18"/>
                <w:i w:val="1"/>
                <w:iCs w:val="1"/>
                <w:color w:val="auto"/>
              </w:rPr>
              <w:t>Footnote 11</w:t>
            </w: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losses, net (See </w:t>
            </w:r>
            <w:r>
              <w:rPr>
                <w:rFonts w:ascii="Times New Roman" w:cs="Times New Roman" w:eastAsia="Times New Roman" w:hAnsi="Times New Roman"/>
                <w:sz w:val="18"/>
                <w:szCs w:val="18"/>
                <w:i w:val="1"/>
                <w:iCs w:val="1"/>
                <w:color w:val="auto"/>
              </w:rPr>
              <w:t>Footnote 10</w:t>
            </w: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factored receivables and other, net</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income tax benefit for 2024 was $44 million as compared to $155 million in 2023. The effective tax rate for 2024 was 16.9%, due to the impact of certain discrete items as compared to 28.5% for 2023. See </w:t>
      </w:r>
      <w:r>
        <w:rPr>
          <w:rFonts w:ascii="Times New Roman" w:cs="Times New Roman" w:eastAsia="Times New Roman" w:hAnsi="Times New Roman"/>
          <w:sz w:val="18"/>
          <w:szCs w:val="18"/>
          <w:i w:val="1"/>
          <w:iCs w:val="1"/>
          <w:color w:val="auto"/>
        </w:rPr>
        <w:t>Footnote 12 of the Notes to Consolidated Financial Statements</w:t>
      </w:r>
      <w:r>
        <w:rPr>
          <w:rFonts w:ascii="Times New Roman" w:cs="Times New Roman" w:eastAsia="Times New Roman" w:hAnsi="Times New Roman"/>
          <w:sz w:val="18"/>
          <w:szCs w:val="18"/>
          <w:color w:val="auto"/>
        </w:rPr>
        <w:t xml:space="preserve"> for further information on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Operating Results 2024 vs.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and Commercial Solutions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H&amp;CS net sales for 2024 decreased 8% compared to prior year, which reflected soft demand across all businesses and distribution losses. Product line exits also negatively impacted net sales by approximately 1%. Pricing actions partially offset these negative factors. Changes in foreign currency unfavorably impacted net sales by $151 million, or 3%.</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Operating loss for 2024 was $2 million as compared to operating income of $37 million in the prior year. The decline in operating results is primarily due to higher non-cash impairment charges, related to indefinite-lived tradenames of $275 million, compared to a charge of $76 million during 2023, higher advertising and promotion costs of $18 million, additional amortization of certain tradenames of $17 million and inflation. These factors were partially offset by improvement of $134 million in gross profit, mainly due to productivity, lower restructuring charges of $41 million and release of a bad debt reserve due to a recovery of a receivable from an international customer of $9 million. See </w:t>
      </w:r>
      <w:r>
        <w:rPr>
          <w:rFonts w:ascii="Times New Roman" w:cs="Times New Roman" w:eastAsia="Times New Roman" w:hAnsi="Times New Roman"/>
          <w:sz w:val="18"/>
          <w:szCs w:val="18"/>
          <w:i w:val="1"/>
          <w:iCs w:val="1"/>
          <w:color w:val="auto"/>
        </w:rPr>
        <w:t>Footnote 7 of the Notes 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for further information on non-cash impairment charge and additional amortization of tradenames.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Learning and Development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L&amp;D net sales for 2024 increased modestly by less than 1%, compared to prior year, as growth in the Baby business, primarily as a result of improved orders from major retailers and innovation, was partially offset by a decline in the Writing business due to soft demand in certain markets, partially offset by contribution from product innovation. Changes in foreign currency unfavorably impacted net sales by $44 million, or 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Operating income for 2024 increased to $473 million as compared to $213 million in 2023. The increase in operating income is primarily due to improved gross profit of approximately $87 million, due to gross productivity, savings from restructuring actions as well as lower non-cash impairment charges. The Company recorded non-cash impairment charges related to indefinite-lived tradenames and goodwill of $70 million and $241 million during 2024 and 2023, respectively. See </w:t>
      </w:r>
      <w:r>
        <w:rPr>
          <w:rFonts w:ascii="Times New Roman" w:cs="Times New Roman" w:eastAsia="Times New Roman" w:hAnsi="Times New Roman"/>
          <w:sz w:val="18"/>
          <w:szCs w:val="18"/>
          <w:i w:val="1"/>
          <w:iCs w:val="1"/>
          <w:color w:val="auto"/>
        </w:rPr>
        <w:t>Footnote 7 of the Notes to the Consolidated Financial Statements</w:t>
      </w:r>
      <w:r>
        <w:rPr>
          <w:rFonts w:ascii="Times New Roman" w:cs="Times New Roman" w:eastAsia="Times New Roman" w:hAnsi="Times New Roman"/>
          <w:sz w:val="18"/>
          <w:szCs w:val="18"/>
          <w:color w:val="auto"/>
        </w:rPr>
        <w:t xml:space="preserve"> for further information on the non-cash impairment charges.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Outdoor and Recreation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O&amp;R net sales for 2024 decreased 21% compared to prior year, reflecting soft global demand and distribution losses. Changes in foreign currency unfavorably impacted net sales by $39 million, or 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Operating loss for 2024 was $86 million as compared to $83 million in 2023. The decline was primarily due to lower gross profit of $26 million, caused by unfavorable fixed cost leverage associated with lower sales volume and inflation, partially offset by gross productivity, favorable pricing and savings from restructuring actions and absence of a non-cash impairment charge of $22 million recorded in the prior year. There were no non-cash impairment charges recorded during 2024. See </w:t>
      </w:r>
      <w:r>
        <w:rPr>
          <w:rFonts w:ascii="Times New Roman" w:cs="Times New Roman" w:eastAsia="Times New Roman" w:hAnsi="Times New Roman"/>
          <w:sz w:val="18"/>
          <w:szCs w:val="18"/>
          <w:i w:val="1"/>
          <w:iCs w:val="1"/>
          <w:color w:val="auto"/>
        </w:rPr>
        <w:t>Footnote 7 of the Notes to the Consolidated Financial Statements</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Results 2023 vs.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6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Income tax rate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60" w:type="dxa"/>
            <w:vAlign w:val="bottom"/>
          </w:tcPr>
          <w:p>
            <w:pPr>
              <w:spacing w:after="0"/>
              <w:rPr>
                <w:sz w:val="19"/>
                <w:szCs w:val="19"/>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0.47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2023 decreased 14% as compared to 2022. Net sales were unfavorably impacted by soft global demand, distribution losses and category exits, primarily in the H&amp;CS segment, partially offset by pricing actions by the Company. The sale of the Connected Home and Security (“CH&amp;S”) business at the end of the first quarter of 2022 negatively impacted net sales by approximately 1%. Changes in foreign currency unfavorably impacted net sales by $38 million, or less than 1%.</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2023, gross profit decreased 17% and gross margin declined to 28.9% as compared with 30.0% in 2022. The decline in gross margin reflected higher absorption costs associated with a lower sales volume, higher sales promotional activities to reduce elevated inventory levels, inflation, higher restructuring-related charges of approximately $64 million and inventory write-down of $11 million due to regulatory restrictions banning the salability of certain of the Company’s products in certain jurisdictions, partially offset by favorable pricing and gross productivity. The gross profit decline also reflected the unfavorable impact of the sale of CH&amp;S business in 2022 by approximately $36 million. Changes in foreign currency exchange rates unfavorably impacted gross profit by $38 million, or 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Notable items, other than the aforementioned, impacting operating income (loss) for 2023 and 2022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goodwill and intangible assets (See </w:t>
            </w:r>
            <w:r>
              <w:rPr>
                <w:rFonts w:ascii="Times New Roman" w:cs="Times New Roman" w:eastAsia="Times New Roman" w:hAnsi="Times New Roman"/>
                <w:sz w:val="18"/>
                <w:szCs w:val="18"/>
                <w:i w:val="1"/>
                <w:iCs w:val="1"/>
                <w:color w:val="auto"/>
              </w:rPr>
              <w:t>Footnotes 1 and 7</w:t>
            </w: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restructuring-related (See </w:t>
            </w:r>
            <w:r>
              <w:rPr>
                <w:rFonts w:ascii="Times New Roman" w:cs="Times New Roman" w:eastAsia="Times New Roman" w:hAnsi="Times New Roman"/>
                <w:sz w:val="18"/>
                <w:szCs w:val="18"/>
                <w:i w:val="1"/>
                <w:iCs w:val="1"/>
                <w:color w:val="auto"/>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Transaction costs and other </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60" w:right="320" w:hanging="247"/>
        <w:spacing w:after="0" w:line="261" w:lineRule="auto"/>
        <w:tabs>
          <w:tab w:leader="none" w:pos="6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Restructuring-related costs reported in cost of products sold and SG&amp;A for 2023 were $86 million and $13 million, respectively, and primarily relate to facility closures. Restructuring-related costs reported in cost of products sold and SG&amp;A for 2022 were $22 million and $2 million, respectively, and primarily relate to facility closures. Restructuring costs for 2023 and 2022 were $95 million and $15 million, respectively.</w:t>
      </w:r>
    </w:p>
    <w:p>
      <w:pPr>
        <w:jc w:val="both"/>
        <w:ind w:left="660" w:right="320" w:hanging="247"/>
        <w:spacing w:after="0" w:line="262"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and other for 2023 primarily relate to completed divestitures, expenses associated with certain legal proceedings, impairment of other assets and an inventory write-down due to regulatory restrictions banning the salability of certain of the Company’s products in certain jurisdictions. Transaction costs and other reported in cost of products sold, SG&amp;A and impairment of other assets for 2023 were $20 million, $23 million and $3 million, respectively. Transaction costs and other for 2022 primarily relate to completed divestitures, expenses associated with certain legal proceedings, an indirect tax reserve for an international entity and an incremental bad debt reserve for an international customer. Transaction costs and other reported in cost of products sold and SG&amp;A for 2022 were $4 million and $68 million, respectively.</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loss in 2023 was $85 million as compared to operating income of $312 million in 2022. The decline reflects the impact of lower gross profit of $481 million, higher incentive compensation expense of approximately $105 million and higher restructuring and restructuring-related charges, approximately $91 million, primarily in connection with Project Phoenix, the Network Optimization Project and other on-going facility closures. These factors were partially offset by lower non-cash impairment charges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of approximately $132 million, lower transaction costs and other of approximately $45 million, lower advertising and promotion costs of approximately $16 million, savings from restructuring actions and approximately $15 million of employee retention credit in connection with the CARES Act.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net increased primarily due to higher interest rates, partially offset by higher interest income. The weighted average interest rates for 2023 and 2022 were approximately 5.2% and 4.3%, respectively. 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for 2023 and 2022 include the following items: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6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 settlement costs (See </w:t>
            </w:r>
            <w:r>
              <w:rPr>
                <w:rFonts w:ascii="Times New Roman" w:cs="Times New Roman" w:eastAsia="Times New Roman" w:hAnsi="Times New Roman"/>
                <w:sz w:val="18"/>
                <w:szCs w:val="18"/>
                <w:i w:val="1"/>
                <w:iCs w:val="1"/>
                <w:color w:val="auto"/>
              </w:rPr>
              <w:t>Footnote 11</w:t>
            </w: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Gain on disposition of businesses (See </w:t>
            </w:r>
            <w:r>
              <w:rPr>
                <w:rFonts w:ascii="Times New Roman" w:cs="Times New Roman" w:eastAsia="Times New Roman" w:hAnsi="Times New Roman"/>
                <w:sz w:val="18"/>
                <w:szCs w:val="18"/>
                <w:i w:val="1"/>
                <w:iCs w:val="1"/>
                <w:color w:val="auto"/>
              </w:rPr>
              <w:t>Footnote 2</w:t>
            </w: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losses, net (See </w:t>
            </w:r>
            <w:r>
              <w:rPr>
                <w:rFonts w:ascii="Times New Roman" w:cs="Times New Roman" w:eastAsia="Times New Roman" w:hAnsi="Times New Roman"/>
                <w:sz w:val="18"/>
                <w:szCs w:val="18"/>
                <w:i w:val="1"/>
                <w:iCs w:val="1"/>
                <w:color w:val="auto"/>
              </w:rPr>
              <w:t>Footnote 10</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Discount on factored receivables and other,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income tax benefit for 2023 was $155 million as compared to a benefit of $40 million in 2022. The effective tax rate for 2023 was 28.5%, resulting from the combination of pretax book losses and discrete tax benefits of $112 million due to the effects of certain legal entity reorganizations in the U.S. and Luxembourg and $10 million due to the filing of tax returns in various jurisdictions. The year ended December 31, 2022 included discrete benefits of $58 million associated with a change in the Company’s indefinite reinvestment assertion regarding certain earnings within its Irish operations, $28 million associated with the reduction in valuation allowance related to the integration of certain Brazilian and Luxembourg operations and $6 million associated with the approval of certain state tax credits, offset by $14 million of income tax expense related to the divestiture of CH&amp;S. See </w:t>
      </w:r>
      <w:r>
        <w:rPr>
          <w:rFonts w:ascii="Times New Roman" w:cs="Times New Roman" w:eastAsia="Times New Roman" w:hAnsi="Times New Roman"/>
          <w:sz w:val="18"/>
          <w:szCs w:val="18"/>
          <w:i w:val="1"/>
          <w:iCs w:val="1"/>
          <w:color w:val="auto"/>
        </w:rPr>
        <w:t>Footnote 12 of the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Consolidated Financial Statements </w:t>
      </w:r>
      <w:r>
        <w:rPr>
          <w:rFonts w:ascii="Times New Roman" w:cs="Times New Roman" w:eastAsia="Times New Roman" w:hAnsi="Times New Roman"/>
          <w:sz w:val="18"/>
          <w:szCs w:val="18"/>
          <w:color w:val="auto"/>
        </w:rPr>
        <w:t>for further information on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Operating Results 2023 vs.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and Commercial Solutions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H&amp;CS net sales for 2023 decreased 15% which reflected softening global demand across all businesses, the sale of the CH&amp;S business at the end of the first quarter of 2022, which unfavorably impacted net sales by approximately 2%, as well as certain category exits and distribution losses, primarily in the Kitchen business, partially offset by pricing actions. Changes in foreign currency unfavorably impacted net sales by $14 million, or approximately less than 1%.</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Operating income for 2023 was $37 million as compared to operating loss of $212 million in 2022. The improvement in operating results was primarily due to gross productivity, pricing actions, lower non-cash impairment charges (see </w:t>
      </w:r>
      <w:r>
        <w:rPr>
          <w:rFonts w:ascii="Times New Roman" w:cs="Times New Roman" w:eastAsia="Times New Roman" w:hAnsi="Times New Roman"/>
          <w:sz w:val="18"/>
          <w:szCs w:val="18"/>
          <w:i w:val="1"/>
          <w:iCs w:val="1"/>
          <w:color w:val="auto"/>
        </w:rPr>
        <w:t>Footnote 7 of the Notes to Consolidated Financial Statements</w:t>
      </w:r>
      <w:r>
        <w:rPr>
          <w:rFonts w:ascii="Times New Roman" w:cs="Times New Roman" w:eastAsia="Times New Roman" w:hAnsi="Times New Roman"/>
          <w:sz w:val="18"/>
          <w:szCs w:val="18"/>
          <w:color w:val="auto"/>
        </w:rPr>
        <w:t xml:space="preserve"> for further information), approximately $368 million, absence of an indirect tax reserve for an international entity, approximately $24 million, lower advertising and promotional costs, approximately $16 million and bad debt expense arising from an international customer bankruptcy, approximately $8 million, as well as savings from restructuring actions, partially offset by lower gross profit, approximately $157 million, reflecting higher absorption costs associated with lower sales volume, as well as higher restructuring and restructuring-related charges, approximately $54 million, primarily in connection with Project Phoenix. The sale of CH&amp;S at the end of the first quarter of 2022 also unfavorably impacted the operating results by approximately $12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Learning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L&amp;D net sales for 2023 decreased 8%, primarily due to a decline in the Baby business. The Writing business declined slightly due to soft demand in certain categories, partially offset by pricing actions and innovations. Pricing actions in the Baby business were more than offset by soft demand in certain categories, as well as lower sales to a customer that declared bankruptcy, which impacted net sales by approximately 5%. Changes in foreign currency unfavorably impacted net sales by $10 million, or approximately less than 1%.</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Operating income for 2023 decreased to $213 million, compared to $593 million in 2022. The decrease in operating income was primarily due to lower gross profit, approximately $117 million, reflecting higher absorption costs associated with lower sales volume and inflation, higher restructuring and restructuring-related charges of $14 million, primarily in connection with Project Phoenix, and increased advertising and promotion costs of approximately $8 million. Operating income also decreased due to higher charges for non-cash goodwill impairment of approximately $211 million and additional amortization of acquired intangibles assets, of approximately $7 million (see </w:t>
      </w:r>
      <w:r>
        <w:rPr>
          <w:rFonts w:ascii="Times New Roman" w:cs="Times New Roman" w:eastAsia="Times New Roman" w:hAnsi="Times New Roman"/>
          <w:sz w:val="18"/>
          <w:szCs w:val="18"/>
          <w:i w:val="1"/>
          <w:iCs w:val="1"/>
          <w:color w:val="auto"/>
        </w:rPr>
        <w:t>Footnote 7 of the Notes to Consolidated Financial Statements</w:t>
      </w:r>
      <w:r>
        <w:rPr>
          <w:rFonts w:ascii="Times New Roman" w:cs="Times New Roman" w:eastAsia="Times New Roman" w:hAnsi="Times New Roman"/>
          <w:sz w:val="18"/>
          <w:szCs w:val="18"/>
          <w:color w:val="auto"/>
        </w:rPr>
        <w:t xml:space="preserve"> for further information). Gross productivity, favorable pricing and savings from restructuring actions partially offset the aforementioned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Outdoor and Recreation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(24.0)%</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O&amp;R segment net sales for 2023 decreased 24% reflecting soft global demand and distribution losses, partially offset by pricing actions. Changes in foreign currency unfavorably impacted net sales by $14 million, or 1%.</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Operating loss for 2023 was $83 million as compared to operating income of $86 million in 2022. The decline was primarily due to lower gross profit of approximately $171 million, caused by unfavorable fixed cost leverage associated with lower sales volume, inflation, higher sales promotional activities to reduce elevated inventory levels and inventory write-down due to regulatory restrictions banning the salability of certain of the Company’s products in certain jurisdictions. Additionally, during 2023, there was a $22 million non-cash impairment charge related to an indefinite-lived tradename (see </w:t>
      </w:r>
      <w:r>
        <w:rPr>
          <w:rFonts w:ascii="Times New Roman" w:cs="Times New Roman" w:eastAsia="Times New Roman" w:hAnsi="Times New Roman"/>
          <w:sz w:val="18"/>
          <w:szCs w:val="18"/>
          <w:i w:val="1"/>
          <w:iCs w:val="1"/>
          <w:color w:val="auto"/>
        </w:rPr>
        <w:t>Footnote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 of the Notes to Consolidated Financial Statements </w:t>
      </w:r>
      <w:r>
        <w:rPr>
          <w:rFonts w:ascii="Times New Roman" w:cs="Times New Roman" w:eastAsia="Times New Roman" w:hAnsi="Times New Roman"/>
          <w:sz w:val="18"/>
          <w:szCs w:val="18"/>
          <w:color w:val="auto"/>
        </w:rPr>
        <w:t>for further information), and higher restructuring charges primarily in connection with Project Phoenix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$6 million. These factors were partially offset by gross productivity, favorable pricing, savings from restructuring actions and lower advertising costs of approximately $7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the extent of the impact of the rapidly changing retail and consumer landscape, which reflects an increased focus by retailers to rebalance inventory levels, inflationary pressures and uncertainty over the volatility and direction of future demand patterns on the Company’s future sales, operating results, cash flows, liquidity and financial condition, will continue to be driven by numerous evolving factors the Company cannot accurately predict and which will vary. As noted in Business Strategy and Recent Developments, the Company has taken actions to further strengthen its financial position and balance sheet, and maintain financial liquidity and flexibility, including amending certain terms of its Credit Revolver as well as refinancing certain of its senior notes.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believes these actions and its cash generating capability, together with its borrowing capacity and available cash and cash equivalents, provide adequate liquidity to fund its operations, support its growth platforms, pay down debt and debt maturities as they come due and execute its ongoing business initiatives. The Company regularly assesses its cash requirements and the available sources to fund these needs. For further information, refer to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 Factors – Financial Risks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Part I.</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December 31, 2024, the Company had cash and cash equivalents of approximately $198 million, of which approximately $145 million was held by the Company’s non-U.S. subsidiaries. The Company maintains a position of partial permanent reinvestment in the earnings of its non-U.S. subsidiaries. Deferred taxes are recorded for earnings of the Company’s foreign operations that are determined to be not indefinitely reinvested. See </w:t>
      </w:r>
      <w:r>
        <w:rPr>
          <w:rFonts w:ascii="Times New Roman" w:cs="Times New Roman" w:eastAsia="Times New Roman" w:hAnsi="Times New Roman"/>
          <w:sz w:val="18"/>
          <w:szCs w:val="18"/>
          <w:i w:val="1"/>
          <w:iCs w:val="1"/>
          <w:color w:val="auto"/>
        </w:rPr>
        <w:t>Footnote 12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to Consolidated Financial Statements </w:t>
      </w:r>
      <w:r>
        <w:rPr>
          <w:rFonts w:ascii="Times New Roman" w:cs="Times New Roman" w:eastAsia="Times New Roman" w:hAnsi="Times New Roman"/>
          <w:sz w:val="18"/>
          <w:szCs w:val="18"/>
          <w:color w:val="auto"/>
        </w:rPr>
        <w:t>for further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cash activity for 2024, 2023 and 2022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9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rate effect on cash, cash equivalents and restricted cash</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generated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net cash provided by 2024 operating activities reflects lower year-over year working capital reductions, primarily relating to inventory in 2024 compared to 2023, and higher incentive compensation payments in the current year, partially offset by improved operating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net cash provided by operating activities for 2023 primarily reflects a reduction of working capital and lower incentive compensation payments in 2023, partially offset by impact of operating loss and higher restructuring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 xml:space="preserve"> for further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change in cash used in investing activities for 2024 was primarily due to lower capital expenditures, as significant projects, primarily related to Project Ovid, were mostly executed during 2023, as well as higher proceeds from settlement of swaps. See </w:t>
      </w:r>
      <w:r>
        <w:rPr>
          <w:rFonts w:ascii="Times New Roman" w:cs="Times New Roman" w:eastAsia="Times New Roman" w:hAnsi="Times New Roman"/>
          <w:sz w:val="18"/>
          <w:szCs w:val="18"/>
          <w:i w:val="1"/>
          <w:iCs w:val="1"/>
          <w:color w:val="auto"/>
        </w:rPr>
        <w:t>Footnote 10 of the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for further information.</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change in net cash used in investing activities for 2023 was primarily due to proceeds from the sale of the CH&amp;S business in 2022. See </w:t>
      </w:r>
      <w:r>
        <w:rPr>
          <w:rFonts w:ascii="Times New Roman" w:cs="Times New Roman" w:eastAsia="Times New Roman" w:hAnsi="Times New Roman"/>
          <w:sz w:val="18"/>
          <w:szCs w:val="18"/>
          <w:i w:val="1"/>
          <w:iCs w:val="1"/>
          <w:color w:val="auto"/>
        </w:rPr>
        <w:t>Footnote 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Notes to Consolidated Financial Statements </w:t>
      </w:r>
      <w:r>
        <w:rPr>
          <w:rFonts w:ascii="Times New Roman" w:cs="Times New Roman" w:eastAsia="Times New Roman" w:hAnsi="Times New Roman"/>
          <w:sz w:val="18"/>
          <w:szCs w:val="18"/>
          <w:color w:val="auto"/>
        </w:rPr>
        <w:t>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net cash used in financing activities in 2024 was primarily due to lower quarterly dividend payment in the current year and the period-over-period change in debt.</w:t>
      </w:r>
    </w:p>
    <w:p>
      <w:pPr>
        <w:jc w:val="both"/>
        <w:spacing w:after="0" w:line="260" w:lineRule="auto"/>
        <w:rPr>
          <w:sz w:val="20"/>
          <w:szCs w:val="20"/>
          <w:color w:val="auto"/>
        </w:rPr>
      </w:pPr>
      <w:r>
        <w:rPr>
          <w:rFonts w:ascii="Times New Roman" w:cs="Times New Roman" w:eastAsia="Times New Roman" w:hAnsi="Times New Roman"/>
          <w:sz w:val="18"/>
          <w:szCs w:val="18"/>
          <w:color w:val="auto"/>
        </w:rPr>
        <w:t>The change in net cash used in financing activities for 2023 was primarily due to the period-over-period change in debt, a reduction of the quarterly dividend payment in 2023 that commenced with the second quarter payment, and repurchase of shares of the Company’s common stock in the prior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Footnotes 1,9 and 14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believes its capital structure and cash resources, as further described below, will continue to support the funding of the future dividends, and the Company will continue to evaluate all actions to strengthen its financial position and balance sheet and to maintain its financial liquidity, flexibility and capital allocation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at December 31,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Revolver</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is a party to a $1.0 billion Credit Revolver maturing in August 2027. The Credit Revolver requires compliance with certain financial covenants. On February 7, 2024, the Company, certain of its subsidiaries, as subsidiary borrowers, and certain of its subsidiaries, as subsidiary guarantors (the “Guarantors”), entered into a Second Amendment to the Credit Revolver. The Second Amendment among other things, reduced the commitments of the lenders from $1.5 billion to $1.0 billion, replaced the Company’s existing financial covenants with new financial covenants, required the Company and the Guarantors to guarantee all obligations under the Credit Revolver, and required the Company and the other Guarantors to grant a lien and security interest in certain of its assets. A failure to maintain the Company’s financial covenants and to subsequently remedy a default would impair its ability to borrow under the Credit Revolver and potentially subject the Company to cross-default and acceleration provisions in its debt documents. The Credit Revolver provides for the issuance of up to $150 million of letters of credit, so long as there is sufficient availability for borrowing under the Credit Revolver. At December 31, 2024, the Company had $40 million of outstanding borrowings under the Credit Revolver and approximately $35 million of outstanding standby letters of credit issued against the Credit Revolver, with a net availability of approximately $925 million. Availability under the Credit Revolver is subject to change in accordance with the terms thereof, including in response to changes to the Company’s pledged collateral value or outstanding borrowings and letters of credit under the Credit Revolver.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Receivables Purchase Agreement</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factoring agreement with a financial institution to sell certain customer receivables (the “Customer Receivables Purchase Agreement”) up to $700 million. Factored receivables under the Customer Receivables Purchase Agreement at December 31, 2024 were approximately $270 million, an increase of approximately $30 million from December 31, 2023.</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through a wholly-owned special purpose entity (“SPE”), has a three-year factoring agreement with a financial institution to sell up to $225 million, between February and April of each year and up to $275 million at all other times, of certain customer receivables without recourse on a revolving basis (the “Receivables Facility”). Under the Receivables Facility, certain of the Company’s subsidiaries continuously sell their accounts receivables, originated in the U.S., to the SPE and the SPE sells the receivables to the financial institution. The SPE is a variable interest entity for which the Company is considered to be the primary beneficiary. The SPE’s sole business consists of the purchase of receivables from certain subsidiaries of the Company and the subsequent transfer of such receivables to the financial institution. Although the SPE is included in the Company’s consolidated financial statements, it is a separate legal entity with separate creditors. The assets of the SPE are not available to pay creditors of the Company or its subsidiaries. The fair value of these servicing arrangements as well as the fees earned was immaterial. The balance of outstanding accounts receivables sold to the financial institution as of December 31, 2024 was approximately $145 million, an increase of approximately $100 million from December 31, 2023.</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receivables sold under both factoring agreements as sale of financial assets and derecognizes the trade receivables from the Company’s Consolidated Balance Sheet. The Company classifies the proceeds received from the sales of accounts receivable as an operating cash flow and collections of accounts receivables not yet submitted to the financial institutions as financing cash flow in the Consolidated Statements of Cash Flows. The Company records the discounts as other (income) expense, net in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completed a registered public offering and sale of the Notes and received proceeds of approximately $1.24 billion, net of fees and expenses paid. The Company used the net proceeds of the offering to fully redeem its outstanding 4.875% senior notes due 2025 and to redeem in part its outstanding 4.200% senior notes due 2026.</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Company fully redeemed its 4.875% notes due 2025 at a redemption price equal to 100% of the outstanding aggregate principal amount of the notes, plus accrued unpaid interest to the date of the redemption. The total consideration was approximately $511 million. The Company also partially redeemed $750 million of the outstanding aggregate amount of the 4.200% senior notes due 2026 at a redemption price of 101.006%. The total consideration, including accrued unpaid interest to the date of 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7" w:name="page38"/>
    <w:bookmarkEnd w:id="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redemption was approximately $764 million. As a result of the aforementioned redemptions, the Company recorded a total loss on debt extinguishment of $13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Company repaid the outstanding aggregate principal amount of its 4.000% senior notes, plus accrued and unpaid interest upon maturity for total consideration of $205 million.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2024, Moody’s Corporation (“Moody’s”) and S&amp;P Global Inc. (“S&amp;P”) downgraded the Company’s senior unsecured debt rating to “Ba3” and “BB-”, respectively. As a result, the Company’s outstanding senior notes aggregating to approximately $3.1 billion at that time (the “Coupon-Step Notes”) were subject to an interest rate increase of 25 basis points for each downgrade, or 50 basis points in the aggregate. The change to the interest rate due to the Moody’s and S&amp;P downgrades collectively increased the Company’s interest expense by approximately $16 million on an annualized basis at the time of the downgrades (approximately $12 million in 2024). The partial redemption of the 4.200% senior notes due 2026 during the fourth quarter of 2024 decreased the aggregate amount of the Coupon-Step Notes to $2.3 billion, resulting in a reduction of the Company’s annualized interest expense impact of the February 2024 Moody’s and S&amp;P downgrades by approximately $4 million, reducing the aggregate annualized impact of the downgrades to approximately $12 million beginning in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9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enters into derivative transactions to hedge its exposures to interest rate, foreign currency rate and commodity price fluctuations. The Company does not enter into derivative transactions for trading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Contracts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The settlement of interest rate swaps is included in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approximately $1.0 billion notional amount of interest rate swaps that exchange a fixed rate of interest for a variable rate of interest plus a weighted average spread. These floating rate swaps are designated as fair value hedges against $500 million of principal on the 6.375% senior notes due 2027 and $500 million of principal on the 6.625% senior notes due 2029 for the remaining life of the notes. The effective portion of the fair value gains or losses on these swaps is offset by fair value adjustments in the underlying debt. The swap designated as a fair value hedge associated with the $100 million of principal on the 4.000% senior notes due 2024, matured on December 2024, concurrent with the maturity of the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Contracts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cross-currency swaps to hedge foreign currency risk on certain financing arrangements. The Company previously entered into three cross-currency swaps, maturing in January 2025, February 2025 and September 2027, with an aggregate notional amount of $1.3 billion. During the fourth quarter of 2024, the Company closed two of these cross-currency swaps, ahead of maturities of January 2025 and February 2025, with an aggregate notional amount of $900 million and received total consideration of approximately $27 million. Also, during the fourth quarter of 2024, the Company entered into three new cross-currency swaps, two maturing in November 2026 and one in November 2028, with an aggregate notional amount of $770 million. Each of these cross-currency swaps was designated as a net investment hedge of the Company’s foreign currency exposure of its net investment in certain Euro-functional currency subsidiaries with Euro-denominated net assets, and the Company pays a fixed rate of Euro-based interest and receives a fixed rate of U.S. dollar interest.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 entered into two cross-currency swaps with an aggregate notional amount of $1.0 billion, maturing in September 2027 and September 2029. These swaps were designated as net investment hedges of the Company’s foreign currency exposure of its net investment in certain Euro-functional currency subsidiaries with Euro-denominated net assets, and the Company pays a floating rate of Euro-based interest and receives a floating rate of U.S. dollar interest.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has cross-currency swaps outstanding with an aggregate notional amount of approximately $2.1 billion. The Company has elected the spot method for assessing the effectiveness of these contracts.</w:t>
      </w:r>
    </w:p>
    <w:p>
      <w:pPr>
        <w:sectPr>
          <w:pgSz w:w="11900" w:h="16838" w:orient="portrait"/>
          <w:cols w:equalWidth="0" w:num="1">
            <w:col w:w="11240"/>
          </w:cols>
          <w:pgMar w:left="320" w:top="850"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Contracts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forward foreign currency contracts to mitigate the foreign currency exchange rate exposure on the cash flows related to forecasted inventory purchases and sales with maturity dates through December 2025. The derivatives used to hedge these forecasted transactions that meet the criteria for hedge accounting are accounted for as cash flow hedges. The effective portion of the gains or losses on these derivatives is deferred as a component of accumulated other comprehensive income (loss) until it is recognized in earnings at the same time that the hedged item affects earnings and is included in the same caption in the statements of operations as the underlying hedged item. At December 31, 2024, the Company had approximately $337 million notional amount outstanding of forward foreign currency contracts that are designated as cash flow hedges of forecasted inventory purchases and sales.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uses foreign currency contracts, primarily forward foreign currency contracts, to mitigate the foreign currency exposure of certain other foreign currency transactions. At December 31, 2024, the Company had approximately $1.0 billion notional amount outstanding of these foreign currency contracts that are not designated as effective hedges for accounting purposes and have maturity dates through June 2025. Fair market value gains or losses are included in the results of operations and are classified in other (income) expense, net in the Company’s Consolidated Statements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derivative financial instruments at December 31, 2024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Asset</w:t>
            </w:r>
          </w:p>
        </w:tc>
      </w:tr>
      <w:tr>
        <w:trPr>
          <w:trHeight w:val="190"/>
        </w:trPr>
        <w:tc>
          <w:tcPr>
            <w:tcW w:w="9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50"/>
        </w:trPr>
        <w:tc>
          <w:tcPr>
            <w:tcW w:w="99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effective hedges: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Cross-currency swaps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9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effective hedges: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Off-Balance Sheet Arrangements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outstanding debt obligations maturing at various dates through 2046. Certain other items, such as purchase commitments and other executory contracts, are not recognized as liabilities in the Company’s consolidated financial statements but are required to be disclosed. Examples of items not recognized as liabilities in the Company’s consolidated financial statements are commitments to purchase raw materials or inventory that has not yet been received at December 31, 2024, and other non-cancelable obligations including capital assets and other licensing services.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effect that material contractual obligations and commitments are expected to have on the Company’s cash flow in the indicated period at December 31, 2024. Additional details regarding these obligations are provided in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18"/>
                <w:szCs w:val="18"/>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2-3 years</w:t>
            </w:r>
          </w:p>
        </w:tc>
        <w:tc>
          <w:tcPr>
            <w:tcW w:w="20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2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38"/>
        </w:trPr>
        <w:tc>
          <w:tcPr>
            <w:tcW w:w="4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on debt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Lease obligations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ind w:left="660" w:hanging="328"/>
        <w:spacing w:after="0" w:line="27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contractual obligations based on the earliest date that the obligation may become due, excluding interest, based on borrowings outstanding as of December 31, 2024. For further information relating to these obligations, see </w:t>
      </w:r>
      <w:r>
        <w:rPr>
          <w:rFonts w:ascii="Times New Roman" w:cs="Times New Roman" w:eastAsia="Times New Roman" w:hAnsi="Times New Roman"/>
          <w:sz w:val="14"/>
          <w:szCs w:val="14"/>
          <w:i w:val="1"/>
          <w:iCs w:val="1"/>
          <w:color w:val="auto"/>
        </w:rPr>
        <w:t>Footnote 9 of the Notes to Consolidated Financial Statements</w:t>
      </w:r>
      <w:r>
        <w:rPr>
          <w:rFonts w:ascii="Times New Roman" w:cs="Times New Roman" w:eastAsia="Times New Roman" w:hAnsi="Times New Roman"/>
          <w:sz w:val="14"/>
          <w:szCs w:val="14"/>
          <w:color w:val="auto"/>
        </w:rPr>
        <w:t>.</w:t>
      </w:r>
    </w:p>
    <w:p>
      <w:pPr>
        <w:ind w:left="660" w:right="20" w:hanging="328"/>
        <w:spacing w:after="0" w:line="25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estimated interest payable on borrowings outstanding as of December 31, 2024, excluding the impact of fixed to floating rate interest rate swaps. Interest on floating-rate debt was estimated using the rate in effect as of December 31, 2024. For further information, see </w:t>
      </w:r>
      <w:r>
        <w:rPr>
          <w:rFonts w:ascii="Times New Roman" w:cs="Times New Roman" w:eastAsia="Times New Roman" w:hAnsi="Times New Roman"/>
          <w:sz w:val="14"/>
          <w:szCs w:val="14"/>
          <w:i w:val="1"/>
          <w:iCs w:val="1"/>
          <w:color w:val="auto"/>
        </w:rPr>
        <w:t>Footnote 9 of the Notes to Consolidated Financial Statements</w:t>
      </w:r>
      <w:r>
        <w:rPr>
          <w:rFonts w:ascii="Times New Roman" w:cs="Times New Roman" w:eastAsia="Times New Roman" w:hAnsi="Times New Roman"/>
          <w:sz w:val="14"/>
          <w:szCs w:val="14"/>
          <w:color w:val="auto"/>
        </w:rPr>
        <w:t>.</w:t>
      </w: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lease liabilities on operating leases as of December 31, 2024. See </w:t>
      </w:r>
      <w:r>
        <w:rPr>
          <w:rFonts w:ascii="Times New Roman" w:cs="Times New Roman" w:eastAsia="Times New Roman" w:hAnsi="Times New Roman"/>
          <w:sz w:val="14"/>
          <w:szCs w:val="14"/>
          <w:i w:val="1"/>
          <w:iCs w:val="1"/>
          <w:color w:val="auto"/>
        </w:rPr>
        <w:t>Footnote 13 of the Notes to Consolidated Financial Statements</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purchase commitments with suppliers entered into as of December 31, 2024, for the purchase of materials, packaging and other components and services. These purchase commitment amounts represent only those items which are based on agreements that are legally enforceable and that specify all significant terms including minimum quantity, price and term and do not represent total anticipated purchases.</w:t>
      </w:r>
    </w:p>
    <w:p>
      <w:pPr>
        <w:spacing w:after="0" w:line="1" w:lineRule="exact"/>
        <w:rPr>
          <w:rFonts w:ascii="Times New Roman" w:cs="Times New Roman" w:eastAsia="Times New Roman" w:hAnsi="Times New Roman"/>
          <w:sz w:val="14"/>
          <w:szCs w:val="14"/>
          <w:color w:val="auto"/>
        </w:rPr>
      </w:pPr>
    </w:p>
    <w:p>
      <w:pPr>
        <w:ind w:left="660" w:hanging="328"/>
        <w:spacing w:after="0" w:line="278"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does not include contractual obligations reported as of December 31, 2024 balance sheet as current liabilities, except for the current portion of long-term debt, short-term debt and accrued interest.</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also has liabilities for uncertain tax positions and unrecognized tax benefits. The Company is under audit from time-to-time by the IRS and other taxing authorities, and it is possible that the amount of the liability for uncertain tax positions and unrecognized tax benefits could change in the coming year. While it is possible that one or more of these examinations may be resolved in the next year, the Company is not able to reasonably estimate the timing or the amount by which the liability will be settled over time; therefore, the $355 million in unrecognized tax benefits at December 31, 2024 is excluded from the preceding table. See </w:t>
      </w:r>
      <w:r>
        <w:rPr>
          <w:rFonts w:ascii="Times New Roman" w:cs="Times New Roman" w:eastAsia="Times New Roman" w:hAnsi="Times New Roman"/>
          <w:sz w:val="18"/>
          <w:szCs w:val="18"/>
          <w:i w:val="1"/>
          <w:iCs w:val="1"/>
          <w:color w:val="auto"/>
        </w:rPr>
        <w:t>Footnote 12 of the Notes to Consolidated Financial Statements</w:t>
      </w:r>
      <w:r>
        <w:rPr>
          <w:rFonts w:ascii="Times New Roman" w:cs="Times New Roman" w:eastAsia="Times New Roman" w:hAnsi="Times New Roman"/>
          <w:sz w:val="18"/>
          <w:szCs w:val="18"/>
          <w:color w:val="auto"/>
        </w:rPr>
        <w:t xml:space="preserve"> for additional information.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Additionally, the Company has obligations with respect to its pension and postretirement benefit plans, which are excluded from the preceding table. The timing and amounts of the funding requirements are uncertain because they are dependent on interest rates and actual returns on plan assets, among other factors. See </w:t>
      </w:r>
      <w:r>
        <w:rPr>
          <w:rFonts w:ascii="Times New Roman" w:cs="Times New Roman" w:eastAsia="Times New Roman" w:hAnsi="Times New Roman"/>
          <w:sz w:val="18"/>
          <w:szCs w:val="18"/>
          <w:i w:val="1"/>
          <w:iCs w:val="1"/>
          <w:color w:val="auto"/>
        </w:rPr>
        <w:t>Footnote 11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December 31, 2024, the Company had approximately $48 million in standby letters of credit primarily related to the Company’s self-insurance programs, including workers’ compensation, product liability and medical. See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Company did not have any significant off-balance sheet arrangements, as defined in Item 303(a)(4)(ii) of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the Company’s financial statements in conformity with generally accepted accounting principles requires management to make estimates and assumptions about future events that affect the amounts reported in the financial statements and accompanying footnotes. Future events and their effects cannot be determined with absolute certainty. Therefore, the determination of estimates requires the exercise of judgment. Actual results will differ from those estimates, and such differences may be material to the Consolidated Financial Statements. The Company’s significant accounting policies are more fully described in </w:t>
      </w:r>
      <w:r>
        <w:rPr>
          <w:rFonts w:ascii="Times New Roman" w:cs="Times New Roman" w:eastAsia="Times New Roman" w:hAnsi="Times New Roman"/>
          <w:sz w:val="18"/>
          <w:szCs w:val="18"/>
          <w:i w:val="1"/>
          <w:iCs w:val="1"/>
          <w:color w:val="auto"/>
        </w:rPr>
        <w:t>Footnote 1 of the Notes to Consolidated Financial Statements</w:t>
      </w:r>
      <w:r>
        <w:rPr>
          <w:rFonts w:ascii="Times New Roman" w:cs="Times New Roman" w:eastAsia="Times New Roman" w:hAnsi="Times New Roman"/>
          <w:sz w:val="18"/>
          <w:szCs w:val="18"/>
          <w:color w:val="auto"/>
        </w:rPr>
        <w:t>. The Company’s most critical accounting policies, which are those that have or are reasonably likely to have a material impact on its financial condition and results of operations, are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the customer are satisfied or at a point in time, which generally occurs either on shipment or on delivery based on contractual terms, which is also when control is transferred. The Company’s primary performance obligation is the sale and distribution of its consumer and commercial products to its customers.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measured as the amount of consideration to which it expects to be entitled in exchange for transferring goods or providing services. Certain customers may receive cash and/or non-cash incentives such as cash discounts, returns, credits or reimbursements related to defective products, customer discounts (such as volume or trade discounts), cooperative advertising and other customer-related programs, which are accounted for as variable consideration. In some cases, the Company applies judgment, including contractual rates and historical payment trends, when estimating variable consideration.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participates in various programs and arrangements with customers designed to increase the sale of products by these customers. Among the programs negotiated are arrangements under which allowances are earned by customers for attaining agreed-upon sales levels or for participating in specific marketing programs. Coupon programs are also developed on a customer- and territory-specific basis.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customer programs and arrangements that require sales incentives to be paid in advance, the Company amortizes the amount paid over the period of benefit or contractual sales volume. When incentives are paid in arrears, the Company accrues the estimated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amount to be paid based on the program’s contractual terms, expected customer performance and/or estimated sales volume. These estimates are determined using historical customer experience and other factors, which sometimes require significant judgment. Due to the length of time necessary to obtain relevant data from customers, among other factors, actual amounts paid can differ from these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taxes and other similar taxes are excluded from revenue. The Company has elected to account for shipping and handling activities as a fulfillment cost. The Company also elected not to disclose the value of unsatisfied performance obligations for (i) contracts with an original expected length of one year or less and (ii) contracts for which revenue is recognized at the amount to which the Company has the right to invoice for services performed.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intangibles are tested and reviewed for impairment annually during the fourth quarter (on December 1), or more frequently if facts and circumstances warrant. On December 1, 2024, the carrying values for goodwill and indefinite-lived intangible assets were $3.0 billion and $937 million,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at a reporting unit level, and all of the Company’s goodwill is assigned to its reporting units. Reporting units are determined based upon the Company’s organizational structure in place at the date of the goodwill impairment testing and generally are one level below the operating segment level. The Company’s operations are comprised of six reporting units, within its three primary operating segments. The Company has the option of first analyzing qualitative factors to determine whether it is more likely than not that the fair value of any reporting unit is less than its carrying amount. However, the Company may elect to perform a quantitative goodwill impairment test in lieu of the qualitative test.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 qualitative goodwill test is performed, the Company analyzes factors to determine whether it is more likely than not that the fair value of a reporting unit is less than the carrying amount as a basis for determining whether it is necessary to perform the quantitative goodwill impairment test. The evaluation of qualitative factors includes an assessment of relevant facts, events, and circumstances including but not limited to: macroeconomic conditions, industry and market conditions, and the current and forecasted financial performance of the reporting unit. If the qualitative test indicates it is more likely than not that the fair value of a reporting unit is less than the carrying amount the Company performs the quantitative test, which measures the amount of the goodwill impairment, if any.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elected to perform a qualitative assessment for the Writing reporting unit and a quantitative assessment for the Commercial and Baby reporting units. Based on the Company’s qualitative assessment, the Company concluded there were no events or circumstances that rise to a level that would more likely than not reduce the fair value of the reporting unit below the carrying value; therefore, a quantitative goodwill impairment analysis was not required for the Writing reporting unit.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performing a quantitative assessment, the Company estimates the fair value of each reporting unit by using the income approach. The quantitative goodwill impairment test requires significant use of judgment and assumptions, such as the identification of reporting units; assignment of assets and liabilities to reporting units; and estimation of future cash flows, business growth rates, terminal values, discount rates and total enterprise value.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income approach used is the discounted cash flow methodology and is based on five-year cash flow projections reflecting the Company’s latest projections which included, among other things, the impact of current and projected financial performance of the reporting unit at the time the Company performed its impairment testing. The cash flows projected are analyzed on a debt-free basis (before cash payments to equity and interest-bearing debt investors) in order to develop an enterprise value from operations for the reporting unit. A provision is made, based on these projections, for the value of the reporting unit at the end of the forecast period, or terminal value. The present value of the finite-period cash flows and the terminal value are determined using a selected discount rate. Changes in forecasted operations and other assumptions could materially affect the estimated fair values. Changes in business conditions could potentially require adjustments to these asset valuations. See </w:t>
      </w:r>
      <w:r>
        <w:rPr>
          <w:rFonts w:ascii="Times New Roman" w:cs="Times New Roman" w:eastAsia="Times New Roman" w:hAnsi="Times New Roman"/>
          <w:sz w:val="18"/>
          <w:szCs w:val="18"/>
          <w:i w:val="1"/>
          <w:iCs w:val="1"/>
          <w:color w:val="auto"/>
        </w:rPr>
        <w:t>Footnotes 1 and 7 of the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for further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Company’s annual indefinite-lived intangible asset impairment testing (primarily tradenames), the Company has the option to first analyze qualitative factors to determine whether it is more likely than not that an indefinite-lived intangible asset is impaired. The evaluation of qualitative factors includes an assessment of relevant facts, events, and circumstances including but not limited to: macroeconomic conditions, industry and market conditions, and the current and forecasted financial performance.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Company performs a quantitative test when qualitative factors alone are not sufficient to conclude whether it is more likely than not that an indefinite-lived intangible asset is not impaired. If the Company performs a quantitative test, an impairment loss will only be recognized for the amount by which the carrying value of the indefinite-lived intangible asset exceeds its fair value, not to exceed the total carrying value of the asset.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2024, the Company elected to perform qualitative assessments for two indefinite-lived intangible assets in the Learning and Development segment and quantitative assessments for two indefinite-lived intangible assets in the H&amp;CS segment as well as two for the L&amp;D segment. Based on the Company’s qualitative assessments, the Company concluded there were no events or circumstances that rise to a level that would more likely than not reduce the fair value of those indefinite-lived intangible assets below the carrying value; therefore, a quantitative impairment analysis was not required for the two indefinite-lived intangible assets in the L&amp;D segment.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quantitative testing of indefinite-lived intangibles (primarily tradenames) under established guidelines for impairment requires significant use of judgment and assumptions (such as cash flow projections, royalty rates, terminal values and discount rates). An indefinite-lived intangible asset is impaired by the amount by which its carrying value exceeds its estimated fair value. For impairment testing purposes, the fair value of indefinite-lived intangibles is determined using either the relief from royalty method or the excess earnings method. The relief from royalty method estimates the value of a tradename by discounting the hypothetical avoided royalty payments to their present value over the economic life of the asset. The excess earnings method estimates the value of the intangible asset by quantifying the residual (or excess) cash flows generated by the asset and discounts those cash flows to the present. The excess earnings methodology requires the application of contributory asset charges. Contributory asset charges typically include assumed payments for the use of working capital, tangible assets and other intangible assets. Changes in forecasted operations and other assumptions could materially affect the estimated fair values. Changes in business conditions could potentially require adjustments to these asset valuations.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in conjunction with its annual impairment testing, the Company recorded non-cash impairment charge of $85 million associated with one tradename in the H&amp;CS segment, as the carrying value exceeded the fair value. The decline in the fair value of the tradename in the H&amp;CS segment was the result of downward revision of forecasted revenue mainly due to a distribution loss, which the Company was informed of during the fourth quarter of 2024. A hypothetical 10% reduction in the forecasted revenue and residual (excess) cash flows used in the excess earnings method applied in determining the fair value of the tradename would have resulted in an incremental impairment charge on the H&amp;CS segment of $22 million. During the third quarter of 2024, the Company concluded that triggering events had occurred for indefinite-lived tradenames in the H&amp;CS and L&amp;D segments, as a result of downward revisions of forecasted cash flows primarily due to lower volume and profitability expectations. The Company performed quantitative impairment tests and determined that the indefinite-lived tradenames in the H&amp;CS and L&amp;D segments were impaired. During the third quarter of 2024, the Company recorded non-cash impairment charges of $190 million and $70 million for the indefinite-lived tradenames in the H&amp;CS and in the L&amp;D segments, respectively, as the carrying values exceeded their fair values.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in conjunction with its annual impairment testing, one tradename in the L&amp;D segment had a fair value within 10% of its associated carrying value of $135 million. A hypothetical 10% reduction in the forecasted revenue used in the relief from royalty method in determining the fair value of the tradename would have resulted in an impairment charge of $10 million in the L&amp;D segment.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experienced headwinds due to soft global demand and an increased focus by retailers to rebalance inventory levels in light of continued inflationary pressures on consumers. The Company expects that current market contraction is reflective of a reset of demand levels. If the demand continues to contract or the business fails to regain lost distribution, additional declines in the fair value of reporting units or certain tradenames may occur resulting in an impairment charge. Additional impairment testing may be required based on further deterioration of global demand and/or the macroeconomic environment, further declines in operating results of the Company’s reporting units and/or tradenames, further sustained deterioration of the Company’s market capitalization, and other factors, which may necessitate changes to estimates or valuation assumptions used in the fair value of the reporting units for goodwill and indefinite-lived intangible tradenames. Although management cannot predict when improvements in macroeconomic conditions will occur, if consumer confidence and consumer spending continue to decline significantly in the future or if commercial and industrial economic activity experiences a sustained deterioration from current levels, the Company may be required to record further impairment charges in the future.</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Footnotes 1 and 7 of the Notes to Consolidated Financial Statements</w:t>
      </w:r>
      <w:r>
        <w:rPr>
          <w:rFonts w:ascii="Times New Roman" w:cs="Times New Roman" w:eastAsia="Times New Roman" w:hAnsi="Times New Roman"/>
          <w:sz w:val="18"/>
          <w:szCs w:val="18"/>
          <w:color w:val="auto"/>
        </w:rPr>
        <w:t xml:space="preserve"> for further information associated with non-cash indefinite-lived intangibles impairment charges resulting from its annual test and triggering events during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Other Long-Lived Assets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continuously evaluates whether impairment indicators related to its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group of assets. The sum of the undiscounted future cash flows attributable to the asset or group of assets is compared to their carrying amount. The cash flows are estimated utilizing various assumptions regarding future sales and expenses, working capital and proceeds from asset disposals on a basis consistent with the Company’s forecasts. If the carrying amount exceeds the sum of the undiscounted future cash flows, the Company discounts the future cash flows using a discount rate required for a similar investment of like risk and records an impairment charge as the difference between the fair value and the carrying value of the asset group. The Company performs its testing of the asset group at the reporting unit level, as this is the lowest level for which identifiable cash flows are available, with the exception of the Yankee Candle business, where testing is performed at the retail store level. See </w:t>
      </w:r>
      <w:r>
        <w:rPr>
          <w:rFonts w:ascii="Times New Roman" w:cs="Times New Roman" w:eastAsia="Times New Roman" w:hAnsi="Times New Roman"/>
          <w:sz w:val="18"/>
          <w:szCs w:val="18"/>
          <w:i w:val="1"/>
          <w:iCs w:val="1"/>
          <w:color w:val="auto"/>
        </w:rPr>
        <w:t>Footnotes 6, 7, and 13 of the Notes to Consolidated Financial</w:t>
      </w:r>
      <w:r>
        <w:rPr>
          <w:rFonts w:ascii="Times New Roman" w:cs="Times New Roman" w:eastAsia="Times New Roman" w:hAnsi="Times New Roman"/>
          <w:sz w:val="18"/>
          <w:szCs w:val="18"/>
          <w:color w:val="auto"/>
        </w:rPr>
        <w:t xml:space="preserve"> Statements for further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deferred income taxes using the asset and liability approach. Under this approach, deferred income taxes are recognized based on the tax effects of temporary differences between the financial statement and tax bases of assets and liabilities, as measured by current enacted tax rates. Valuation allowances are recorded to reduce the deferred tax assets to an amount that will more likely than not be realized.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provisions are based on calculations and assumptions that are subject to examination by various worldwide tax authorities. Although the Company believes that the positions taken on previously filed tax returns are reasonable, it has established tax, interest and penalty reserves in recognition that various taxing authorities may challenge the positions taken, which could result in additional liabilities for taxes, interest and penalties. The Company regularly reviews its deferred tax assets for recoverability considering historical profitability, projected future taxable income, the expected timing of the reversals of existing temporary differences and tax planning strategies.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uncertain tax positions, the Company applies the provisions of relevant authoritative guidance, which requires application of a “more likely than not” threshold to the recognition and derecognition of tax positions. The Company’s ongoing assessments of the more likely than not outcomes of tax authority examinations and related tax positions require significant judgment and can increase or decrease the Company’s effective tax rate, as well as impact operating results.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is subject to volatility and could be favorably or adversely affected by earnings being higher or lower in countries that have lower tax rates and higher or lower in countries that have higher tax rates; by changes in the valuation of deferred tax assets and liabilities; by expiration of or lapses in tax-related legislation; by expiration of or lapses in tax incentives; by tax effects of nondeductible compensation; by changes in accounting principles; by liquidity needs driving repatriations of non-U.S. cash to the U.S.; or by changes in tax laws and regulations, including possible U.S. changes to the taxation of earnings of foreign subsidiaries, the deductibility of expenses attributable to foreign income, or the foreign tax credit rules.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differs from the statutory rate, primarily due to the tax impact of state taxes, foreign tax rates, tax credits, the domestic manufacturing deduction, tax audit settlements and valuation allowance adjustments. Significant judgment is required in evaluating uncertain tax positions, determining valuation allowances recorded against deferred tax assets, and ultimately, the income tax provision.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It is difficult to predict when resolution of income tax matters will occur and when recognition of certain income tax assets and liabilities is appropriate, and the Company’s income tax expense in the future may continue to differ from the statutory rate because of the effects of similar items. For example, if items are favorably resolved or management determines a deferred tax asset is realizable that was previously reserved, the Company will recognize period tax benefits. Conversely, to the extent tax matters are unfavorably resolved or management determines a valuation allowance is necessary for a tax asset that was not previously reserved, the Company will recognize incremental period tax expense. These matters are expected to contribute to the tax rate differing from the statutory rate and continued volatility in the Company’s effective tax rate. See </w:t>
      </w:r>
      <w:r>
        <w:rPr>
          <w:rFonts w:ascii="Times New Roman" w:cs="Times New Roman" w:eastAsia="Times New Roman" w:hAnsi="Times New Roman"/>
          <w:sz w:val="18"/>
          <w:szCs w:val="18"/>
          <w:i w:val="1"/>
          <w:iCs w:val="1"/>
          <w:color w:val="auto"/>
        </w:rPr>
        <w:t>Footnote 12 of the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Pensions and Postretirement Benefits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annual amounts relating to its pension and postretirement plans based on calculations, which include various actuarial assumptions, including discount rates, assumed rates of return, compensation increases, turnover rates and health care cost trend rates. The Company reviews its actuarial assumptions on an annual basis and makes modifications to the assumptions based on current rates and trends when it is deemed appropriate to do so. The effect of modifications is generally deferred and amortized over future periods. The Company believes that the assumptions utilized in recording its obligations under its plans are reasonable based on its experience, market conditions and the input from its actuaries and investment advisors. The pension and postretirement obligations are measured at December 31, 2024 and 2023.</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employs a total return investment approach for its pension and postretirement benefit plans whereby a mix of equities and fixed income investments are used to optimize the long-term return of pension plan assets. The intent of this strategy is to minimize plan expenses by outperforming plan liabilities over the long run. Risk tolerance is established through careful consideration of plan liabilities, plan funded status, and corporate financial condition. The investment portfolios contain a diversified blend of equity and fixed-income investments. Furthermore, equity investments are diversified across geography and market capitalization through investments in U.S. large-capitalization stocks, U.S. small-capitalization stocks and international securities. Investment risk is measured and monitored on an ongoing basis through annual liability measurements, periodic asset/liability studies and quarterly investment portfolio reviews.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expected long-term rate of return for plan assets is based upon many factors including expected asset allocations, historical asset returns, current and expected future market conditions, risk and active management premiums. The target asset allocations for the Company’s domestic pension plans may vary by plan, in part due to plan demographics, funded status and liability duration. In general, the Company’s target asset allocations are as follows: equities approximately 25%; fixed income approximately 70%; multi-sector fixed income approximately 5% and nominal for cash, alternative investments and other at December 31, 2024. Actual asset allocations may vary from the targeted allocations for various reasons, including market conditions and the timing of transactions. The Company maintains numerous international defined benefit pension plans. The asset allocations for the international investment may vary by plan and jurisdiction and are primarily based upon the plan structure and plan participant profile. At December 31, 2024, the domestic plan assets were allocated as follows: equities approximately 19% and other investments (alternative investments, fixed-income securities, cash and other) approximately 81%. Actual asset allocations may vary from the targeted allocations for various reasons, including market conditions and the timing of transactions.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2024, 2023 and 2022, the actual return on plan assets for the Company’s U.S. pension plan assets was approximately $14 million, $57 million and loss of $220 million, respectively, versus an expected return on plan assets of approximately $47 million, $52 million and $47 million, respectively. The actual amount of future contributions will depend, in part, on long-term actual return on assets and future discount rates. Pension contributions for all the Company’s pension plans, postretirement benefit obligations, including supplemental executive retirement plans (“SERPs”) for 2025 are estimated to be approximately $20 million, as compared to the 2024 contributions of approximately $23 million.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expected return on plan assets assumption for 2024 was approximately 5.4% for all of the Company’s pension plans. The weighted average discount rate at the 2024 measurement date used to measure the pension plans’ (including SERPs’) benefit obligations and postretirement benefit obligations was approximately 5.1% and 4.9%, respectively. A 25 basis points decrease in the discount rate at the 2024 measurement date would increase the pension plans’, including postretirement and SERPs projected benefit obligations, by approximately $20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healthcare cost trend rates used in valuing the Company’s postretirement benefit obligation are established based upon actual healthcare cost trends and consultation with actuaries and benefit providers. At December 31, 2024, the current weighted average healthcare cost trend rate assumption was approximately 6.3%. The current healthcare cost trend rate is assumed to gradually decrease through 2038 to an ultimate healthcare cost trend rate of 4.8%. See </w:t>
      </w:r>
      <w:r>
        <w:rPr>
          <w:rFonts w:ascii="Times New Roman" w:cs="Times New Roman" w:eastAsia="Times New Roman" w:hAnsi="Times New Roman"/>
          <w:sz w:val="18"/>
          <w:szCs w:val="18"/>
          <w:i w:val="1"/>
          <w:iCs w:val="1"/>
          <w:color w:val="auto"/>
        </w:rPr>
        <w:t>Footnote 11 of the Notes to Consolidated Financial Statements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recent accounting pronouncements is included in </w:t>
      </w:r>
      <w:r>
        <w:rPr>
          <w:rFonts w:ascii="Times New Roman" w:cs="Times New Roman" w:eastAsia="Times New Roman" w:hAnsi="Times New Roman"/>
          <w:sz w:val="18"/>
          <w:szCs w:val="18"/>
          <w:i w:val="1"/>
          <w:iCs w:val="1"/>
          <w:color w:val="auto"/>
        </w:rPr>
        <w:t>Footnote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of the Notes to Consolidated Financial Statements</w:t>
      </w:r>
      <w:r>
        <w:rPr>
          <w:rFonts w:ascii="Times New Roman" w:cs="Times New Roman" w:eastAsia="Times New Roman" w:hAnsi="Times New Roman"/>
          <w:sz w:val="18"/>
          <w:szCs w:val="18"/>
          <w:color w:val="212529"/>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Operations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Company’s non-U.S. businesses accounted for approximately 38%, 37% and 35% of net sales for 2024, 2023 and 2022, respectively (see </w:t>
      </w:r>
      <w:r>
        <w:rPr>
          <w:rFonts w:ascii="Times New Roman" w:cs="Times New Roman" w:eastAsia="Times New Roman" w:hAnsi="Times New Roman"/>
          <w:sz w:val="18"/>
          <w:szCs w:val="18"/>
          <w:i w:val="1"/>
          <w:iCs w:val="1"/>
          <w:color w:val="auto"/>
        </w:rPr>
        <w:t>Footnote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 These statements generally can be identified by the use of words such as “intend,” “anticipate,” “believe,” “estimate,” “project,” “target,” “plan,” “expect,” “setting up,” “beginning to,” “will,” “should,” “would,” “could,” “resume,” “are confident that,” “remain optimistic that,” “seek to,” or similar statements. The Company cautions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spacing w:after="0" w:line="5" w:lineRule="exact"/>
        <w:rPr>
          <w:sz w:val="20"/>
          <w:szCs w:val="20"/>
          <w:color w:val="auto"/>
        </w:rPr>
      </w:pPr>
    </w:p>
    <w:p>
      <w:pPr>
        <w:jc w:val="both"/>
        <w:ind w:left="660" w:right="3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optimize costs and cash flow and mitigate the impact of soft global demand and retailer inventory rebalancing through discretionary and overhead spend management, advertising and promotion expense optimization, demand forecast and supply plan adjustments and actions to improve working capital;</w:t>
      </w:r>
    </w:p>
    <w:p>
      <w:pPr>
        <w:spacing w:after="0" w:line="1"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the strength of retail and consumer demand and commercial and industrial sectors of the economy in various countries around the world;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improve productivity, reduce complexity and streamline operations;</w:t>
      </w:r>
    </w:p>
    <w:p>
      <w:pPr>
        <w:spacing w:after="0" w:line="9" w:lineRule="exact"/>
        <w:rPr>
          <w:rFonts w:ascii="Times New Roman" w:cs="Times New Roman" w:eastAsia="Times New Roman" w:hAnsi="Times New Roman"/>
          <w:sz w:val="18"/>
          <w:szCs w:val="18"/>
          <w:color w:val="auto"/>
        </w:rPr>
      </w:pPr>
    </w:p>
    <w:p>
      <w:pPr>
        <w:jc w:val="both"/>
        <w:ind w:left="660" w:right="3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substantial indebtedness, potential increases in interest rates or changes in the Company’s credit ratings including the failure to maintain financial covenants which if breached could subject us to cross-default and acceleration provisions in our debt documents;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manufacturers and distributors of consumer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retailers’ strong bargaining power and consolidation of the Company’s customers;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operational disruptions in the markets in which we operate, including as a result of geopolitical and macroeconomic conditions and any global military conflicts including those between Russia and Ukraine and in the Middle East;</w:t>
      </w:r>
    </w:p>
    <w:p>
      <w:pPr>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and availability of labor, transportation, raw materials and sourced products, including significant inflation, and the Company’s ability to offset cost increases through pricing and productivity in a timely manner;</w:t>
      </w:r>
    </w:p>
    <w:p>
      <w:pPr>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execute its turnaround plan, including Project Ovid, the Realignment Plan and other restructuring and cost saving initiatives;</w:t>
      </w:r>
    </w:p>
    <w:p>
      <w:pPr>
        <w:ind w:left="660" w:right="3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innovative new products, to develop, maintain and strengthen end-user brands and to realize the benefits of increased advertising and promotion spend;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inherent to the Company’s foreign operations, including currency fluctuations, exchange controls and pricing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events that could adversely affect the value of the Company’s assets and/or stock price and require additional impairment charges;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 associated with dispositions;</w:t>
      </w:r>
    </w:p>
    <w:p>
      <w:pPr>
        <w:spacing w:after="0" w:line="9" w:lineRule="exact"/>
        <w:rPr>
          <w:rFonts w:ascii="Times New Roman" w:cs="Times New Roman" w:eastAsia="Times New Roman" w:hAnsi="Times New Roman"/>
          <w:sz w:val="18"/>
          <w:szCs w:val="18"/>
          <w:color w:val="auto"/>
        </w:rPr>
      </w:pPr>
    </w:p>
    <w:p>
      <w:pPr>
        <w:jc w:val="both"/>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and outcomes of governmental investigations, inspections, lawsuits, legislative requests or other actions by third parties, including but not limited to those described in </w:t>
      </w:r>
      <w:r>
        <w:rPr>
          <w:rFonts w:ascii="Times New Roman" w:cs="Times New Roman" w:eastAsia="Times New Roman" w:hAnsi="Times New Roman"/>
          <w:sz w:val="18"/>
          <w:szCs w:val="18"/>
          <w:i w:val="1"/>
          <w:iCs w:val="1"/>
          <w:color w:val="auto"/>
        </w:rPr>
        <w:t>Footnote 18 of the Notes to Consolidated Financial Statements</w:t>
      </w:r>
      <w:r>
        <w:rPr>
          <w:rFonts w:ascii="Times New Roman" w:cs="Times New Roman" w:eastAsia="Times New Roman" w:hAnsi="Times New Roman"/>
          <w:sz w:val="18"/>
          <w:szCs w:val="18"/>
          <w:color w:val="auto"/>
        </w:rPr>
        <w:t>, the potential outcomes of which could exceed policy limits, to the extent insured;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the use of artificial intelligence in the Company’s operations and the Company’s ability to properly manage such use;</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or breach of one of the Company’s key information technology systems, networks, processes or related controls or those of the Company’s service providers;</w:t>
      </w:r>
    </w:p>
    <w:p>
      <w:pPr>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United States and foreign regulations on the Company’s operations, including the impact of tariffs and environmental remediation costs and legislation and regulatory actions related to product safety, data privacy and climate change;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attract, retain and motivate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tax contingencies resulting in additional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product recalls or related regulatory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protect its intellectual property rights;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the increased focus of governmental and non-governmental organizations and customers on sustainability issues, as well as external expectations related to environmental, social and governance considerations;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the funding obligations related to the Company’s pension plans; and</w:t>
      </w:r>
    </w:p>
    <w:p>
      <w:pPr>
        <w:spacing w:after="0" w:line="9" w:lineRule="exact"/>
        <w:rPr>
          <w:rFonts w:ascii="Times New Roman" w:cs="Times New Roman" w:eastAsia="Times New Roman" w:hAnsi="Times New Roman"/>
          <w:sz w:val="18"/>
          <w:szCs w:val="18"/>
          <w:color w:val="auto"/>
        </w:rPr>
      </w:pPr>
    </w:p>
    <w:p>
      <w:pPr>
        <w:ind w:left="660" w:right="32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listed from time to time in our SEC filings, including but not limited to our Annual Report on Form 10-K and Quarterly Reports on Form 10-Q and other filings.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Annual Report on Form 10-K is as of the date indicated. The Company assumes no obligation to update any forward-looking statements contained in this Annual Report on Form 10-K as a result of new information or future events or developments. In addition, there can be no assurance that the Company has correctly identified and assessed all of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factors affecting the Company or that the publicly available and other information the Company receives with respect to these factors is complete or correct.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business enterprises can be exposed to market risks including fluctuations in interest rates, foreign currency exchange rates and certain commodity prices, which can affect the cost of operating, investing and financing under those conditions. The Company believes it has moderate exposure to these risks. The Company assesses market risk based on changes in interest rates, foreign currency rates and commodity prices utilizing a sensitivity analysis that measures the potential loss in earnings, fair values and cash flows based on hypothetical changes in rates and prices.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interest rate risk on its variable rate debt and price risk on its fixed rate debt. As such, the Company monitors the interest rate environment and uses interest rate swap agreements to manage its interest rate risk and price risk by balancing its exposure to fixed and variable interest rates while attempting to minimize interest costs. At December 31, 2024, approximately $1.0 billion of the Company’s debt carries a variable rate of interest either by nature or through the use of interest rate swaps. The remainder of the debt (approximately $3.6 billion) carries a fixed rate of interest. Based upon the Company’s debt structure at December 31, 2024, a hypothetical 1% increase in these variable interest rates would increase interest expense by approximately $10 million and decrease the fair value of debt by approximately $202 million.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Company transacts business principally in U.S. dollars and most of its revenues are collected in U.S. dollars, a substantial portion of the Company’s operating costs are denominated in other currencies, such as the Brazilian Real, British Pound, Canadian Dollar, European Euro, Japanese Yen and Mexican Peso. Changes in the relation of these and other currencies to the U.S. dollar will affect Company’s sales and profitability and could result in exchange losses. For 2024, approximately 38% of the Company’s sales were denominated in foreign currencies, the most significant of which were: European Euro, approximately 9%; British Pound, approximately 5% and Canadian Dollar and Mexican Peso, approximately 4% each. The primary purpose of the Company’s foreign currency hedging activities is to mitigate the foreign exchange rate exposure on the cash flows related to forecasted inventory purchases and sales. A hypothetical 10% change in foreign currency exchange rates would not have a material effect on foreign currency gains and losses related to the foreign currency derivatives or the net fair value of the Company’s foreign currency derivatives. In this sensitivity analysis, all other assumptions are constant and assumes that a change in one currency’s rate relative to the U.S. dollar would not impact another currency’s rates relative to the U.S. dollar.</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the price risk that the rising cost of commodities has on certain of its raw materials. As such, the Company monitors the commodities markets and from time to time the Company enters into commodity-based derivatives in order to mitigate the impact that the rising price of these commodities has on the cost of certain of the Company’s raw materials. The Company did not enter into any commodity-based derivatives during 2024 and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the counterparties to its derivative financial instruments, all of which are highly rated institutions; however, the Company does not anticipate non-performance by such counterparties. The Company does not enter into derivative financial instruments for trading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Stockholders of Newell Brands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Newell Brands Inc. and its subsidiaries (the “Company”) as of December 31, 2024 and 2023, and the related consolidated statements of operations and comprehensive income (loss), of stockholders’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ind w:firstLine="5"/>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Assessments –Baby and Commercial Reporting Units Goodwill and Certain Indefinite-Lived Tradenames</w:t>
      </w:r>
    </w:p>
    <w:p>
      <w:pPr>
        <w:spacing w:after="0" w:line="2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As described in Notes 1 and 7 to the consolidated financial statements, the Company’s consolidated goodwill and indefinite-lived tradenames balances were $3.0 billion and $844 million, respectively, as of December 31, 2024. The goodwill associated with the Commercial and Baby reporting units was $747 million and $415 million, respectively; and certain indefinite-lived tradenames were $725 million. Goodwill and indefinite-lived tradenames are tested and reviewed for impairment annually on December 1, or more frequently if facts and circumstances warrant. Management performed quantitative assessments for the Baby and Commercial reporting units and certain indefinite-lived tradenames. In performing the quantitative assessments, management estimated the fair value of each reporting unit using the income approach, specifically the discounted cash flow method. Management also performed quantitative assessments for certain indefinite-lived tradenames, where fair value was determined using the relief from royalty or the excess earnings method depending on the individual tradename. Management’s impairment assessments require significant use of judgment and assumptions such as (i) the identification of reporting units, assignment of assets and liabilities to reporting units, and the estimation of future cash flows, business growth rates, terminal values, discount rates, and total enterprise value for reporting units, (ii) the cash flow projections, royalty rate, terminal value and discount rate under the relief from royalty method for a certain indefinite-lived tradename, and (iii) the cash flow projections and discount rates under the excess earnings method for certain indefinite-lived tradenames. As a result of the assessments, no impairment charges were recorded related to goodwill for the Baby and Commercial reporting units, and non-cash impairment charges of $345 million were recorded for certain indefinite-lived tradenames.</w:t>
      </w:r>
    </w:p>
    <w:p>
      <w:pPr>
        <w:spacing w:after="0" w:line="2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assessments of goodwill for the Commercial and Baby reporting units and for certain indefinite-lived tradenames is a critical audit matter are (i) the significant judgment by management when developing the fair value estimates of the Commercial and Baby reporting units and certain indefinite-lived tradenames; (ii) a high degree of auditor judgment, subjectivity, and effort in performing procedures and evaluating management’s significant assumptions related to (a) the estimation of future cash flows, business growth rates, and discount rates for the Commercial and Baby reporting units, (b) the cash flow projections, royalty rate, and discount rate under the relief from royalty method for a certain indefinite-lived tradename, and (c) the cash flow projections and discount rates under the excess earnings method for certain indefinite-lived tradenames; and (iii) the audit effort involved the use of professionals with specialized skill and knowledge. As disclosed by management, material weaknesses existed during the year related to this matter.</w:t>
      </w:r>
    </w:p>
    <w:p>
      <w:pPr>
        <w:spacing w:after="0" w:line="215" w:lineRule="exact"/>
        <w:rPr>
          <w:sz w:val="20"/>
          <w:szCs w:val="20"/>
          <w:color w:val="auto"/>
        </w:rPr>
      </w:pPr>
    </w:p>
    <w:p>
      <w:pPr>
        <w:jc w:val="both"/>
        <w:ind w:firstLine="2"/>
        <w:spacing w:after="0" w:line="23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assessments of goodwill and indefinite-lived tradenames, including controls over the valuation of the Company’s Commercial and Baby reporting units and certain indefinite-lived tradenames. These procedures also included, among others, (i) evaluating and determining the nature and extent of audit procedures performed and evidence obtained that are responsive to the material weaknesses which existed during the year, (ii) testing management’s process for developing the fair value estimates of the Commercial and Baby reporting units and certain indefinite-lived tradenames; (iii) evaluating the appropriateness of the discounted cash flow, relief from royalty, and excess earnings methods used by management; (iv) testing the completeness and accuracy of underlying data used in the valuation methods; and (v) evaluating the reasonableness of the significant assumptions used by management related to the (a) estimation of future cash flows, business growth rates, and discount rates for the Commercial and Baby reporting units, (b) cash flow projections, royalty rate, and discount rate under the relief from royalty method for a certain indefinite-lived tradename, and (c) cash flow projections and discount rates under the excess earnings method for certain indefinite-lived tradenames. Evaluating management’s assumptions related to the estimation of future cash flows and business growth rates for the Commercial and Baby reporting units and the cash flow projections for certain indefinite-lived tradenames involved evaluating whether the assumptions used by management were reasonable considering (i) the current and past performance of the Commercial and Baby reporting units and indefinite-lived tradenames; (ii) the consistency with external and industry data; and (iii) whether the assumptions were consistent with evidence obtained in other areas of the audit. Professionals with specialized skill and knowledge were used to assist in evaluating (i) the appropriateness of the valuation methods and (ii) the reasonableness of the discount rate assumption for the Commercial and Baby reporting units, and the discount rate and royalty rate assumptions for certain indefinite-lived tradenames.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r>
      <w:tr>
        <w:trPr>
          <w:trHeight w:val="230"/>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w:t>
            </w:r>
          </w:p>
        </w:tc>
      </w:tr>
      <w:tr>
        <w:trPr>
          <w:trHeight w:val="223"/>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goodwill, intangibles and other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r>
      <w:tr>
        <w:trPr>
          <w:trHeight w:val="229"/>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7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48"/>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29"/>
        </w:trPr>
        <w:tc>
          <w:tcPr>
            <w:tcW w:w="72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57"/>
        </w:trPr>
        <w:tc>
          <w:tcPr>
            <w:tcW w:w="7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72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54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1"/>
        </w:trPr>
        <w:tc>
          <w:tcPr>
            <w:tcW w:w="7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Unrecognized pension and postretirement costs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7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 except par values)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9,051</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w:t>
            </w:r>
            <w:r>
              <w:rPr>
                <w:rFonts w:ascii="Times New Roman" w:cs="Times New Roman" w:eastAsia="Times New Roman" w:hAnsi="Times New Roman"/>
                <w:sz w:val="18"/>
                <w:szCs w:val="18"/>
                <w:i w:val="1"/>
                <w:iCs w:val="1"/>
                <w:color w:val="auto"/>
              </w:rPr>
              <w:t>Footnote 18</w:t>
            </w: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(10.0 authorized shares, $1.00 par value, no shares issued at December 31, 2024 and</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(800.0 authorized shares, $1.00 par value, 442.3 shares and 439.6 shares issued at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 (26.2 and 25.3 shares at December 31, 2024 and 2023, respectively)</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3,112</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70" w:right="6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(loss) to net cash provided by (used in)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 intangibles and 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from sale of businesses and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settlement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Changes to operating accounts, excluding the effects of divestitures: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3"/>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Accrued liabilities and other,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r>
      <w:tr>
        <w:trPr>
          <w:trHeight w:val="216"/>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divested businesses and investments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settlement of swaps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w:t>
            </w:r>
          </w:p>
        </w:tc>
      </w:tr>
      <w:tr>
        <w:trPr>
          <w:trHeight w:val="218"/>
        </w:trPr>
        <w:tc>
          <w:tcPr>
            <w:tcW w:w="7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(payments on) short-term debt,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current portion of long-term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short-term debt with original maturities greater than 90 days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short-term debt with original maturities greater than 90 days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issuance of 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extinguishment and modification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shares of common stock</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compensation activity and other,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r>
      <w:tr>
        <w:trPr>
          <w:trHeight w:val="216"/>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rate effect on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cash equivalents and restricted cash</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r>
      <w:tr>
        <w:trPr>
          <w:trHeight w:val="215"/>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2"/>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Supplemental disclosures: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0"/>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8"/>
        </w:trPr>
        <w:tc>
          <w:tcPr>
            <w:tcW w:w="37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Additional Paid-In</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Retained Earnings</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2"/>
                <w:szCs w:val="12"/>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3"/>
              </w:rPr>
              <w:t>Total Stockholders’</w:t>
            </w:r>
          </w:p>
        </w:tc>
      </w:tr>
      <w:tr>
        <w:trPr>
          <w:trHeight w:val="180"/>
        </w:trPr>
        <w:tc>
          <w:tcPr>
            <w:tcW w:w="3740" w:type="dxa"/>
            <w:vAlign w:val="bottom"/>
          </w:tcPr>
          <w:p>
            <w:pPr>
              <w:spacing w:after="0"/>
              <w:rPr>
                <w:sz w:val="15"/>
                <w:szCs w:val="15"/>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Pr>
          <w:p>
            <w:pPr>
              <w:spacing w:after="0"/>
              <w:rPr>
                <w:sz w:val="15"/>
                <w:szCs w:val="15"/>
                <w:color w:val="auto"/>
              </w:rPr>
            </w:pPr>
          </w:p>
        </w:tc>
        <w:tc>
          <w:tcPr>
            <w:tcW w:w="1160" w:type="dxa"/>
            <w:vAlign w:val="bottom"/>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29"/>
        </w:trPr>
        <w:tc>
          <w:tcPr>
            <w:tcW w:w="3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4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stock - $0.92 per share</w:t>
            </w: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net of tax</w:t>
            </w:r>
          </w:p>
        </w:tc>
        <w:tc>
          <w:tcPr>
            <w:tcW w:w="8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purchased and retired</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tcBorders>
              <w:top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7,052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3,519</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stock - $0.44 per share</w:t>
            </w: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net of tax</w:t>
            </w:r>
          </w:p>
        </w:tc>
        <w:tc>
          <w:tcPr>
            <w:tcW w:w="8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40" w:type="dxa"/>
            <w:vAlign w:val="bottom"/>
            <w:tcBorders>
              <w:top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6,915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3,112</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4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stock - $0.28 per share</w:t>
            </w: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net of tax</w:t>
            </w:r>
          </w:p>
        </w:tc>
        <w:tc>
          <w:tcPr>
            <w:tcW w:w="8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r>
      <w:tr>
        <w:trPr>
          <w:trHeight w:val="221"/>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4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 — Basis of Presentation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over 40 of these countries, excluding third-party distributors. The Company has three operating segments: Home and Commercial Solutions (“H&amp;CS”), Learning and Development (“L&amp;D”) and Outdoor and Recreation (“O&amp;R”).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and include the consolidated accounts of the Company and its majority-owned subsidiaries after elimination of intercompany transactions and balances.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the use of certain estimates and assumptions by management in determining the Company’s assets, liabilities, sales and expenses, and related disclosures. Significant estimates in these Consolidated Financial Statements include restructuring charges, estimates of future cash flows associated with asset impairments, useful lives for depreciation and amortization, loss contingencies (including legal, environmental and product liability reserves), net realizable value of inventories, estimated contract revenue and related variable consideration, capitalized software costs, income taxes, uncertain tax provisions, tax valuation allowances, and pension and postretirement employee benefit liabilities and expenses. Actual results could differ from those estimates. Certain prior year amounts have been reclassified to conform to the current year presentation.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Risks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Management’s application of U.S. GAAP in preparing the Company’s consolidated financial statements requires the pervasive use of estimates and assumptions. The Company continues to be impacted by inflationary pressures, soft global demand, major retailers’ focus on tight control over their inventory levels, fluctuating interest rates and indirect macroeconomic impacts from geopolitical conflicts. These collective macroeconomic trends, the duration or severity of which are highly uncertain, are still changing the retail and consumer landscape, negatively impacted the Company’s operating results, cash flows and financial condition in 2024, and are to some degree expected to persist into 2025. As consumers continue to face widespread increases in prices and fluctuating interest rates, their discretionary spending and purchase patterns may continue to be unfavorably impacted. The high level of uncertainty of these factors has resulted in estimates and assumptions that have the potential for more variability and are more subjective. In addition, some of the other inherent estimates and assumptions used in the Company’s forecasted results of operations and cash flows that form the basis of the determination of the fair value of the reporting units for goodwill and indefinite-lived intangible asset impairment testing are outside the control of management, including interest rates, cost of capital, tax rates, tariffs, industry growth, credit ratings, foreign exchange rates and labor inflation. Although management has made its best estimates and assumptions based upon current information, actual results could materially differ given the uncertainty of these factors and may require future changes to such estimates and assumptions, including reserves, which may result in future expense or impairment charges.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in conjunction with the Company’s annual impairment testing, the Company recorded a non-cash impairment charge of $85 million related to one tradename in the H&amp;CS segment as the carrying value exceeded the fair value. The decline in the fair value of the tradename in the H&amp;CS segment was the result of downward revision of forecasted revenue mainly due to a distribution loss, which the Company was informed of during the fourth quarter of 2024. An impairment test was also performed for the Company’s goodwill resulting in no impairment.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the Company concluded that triggering events had occurred for indefinite-lived tradenames in the H&amp;CS and L&amp;D segments, as a result of downward revisions of forecasted cash flows primarily due to lower volume and profitability expectations. The Company performed quantitative impairment tests and determined that indefinite-lived tradenames in the H&amp;CS and L&amp;D segments were partially impaired. During the third quarter of 2024, the Company recorded an aggregate non-cash impairment charge of $260 million for the indefinite-lived tradenames, as the carrying values exceeded their fair values.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 xml:space="preserve"> for further information.</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forward exchange contracts generally do not subject the Company to risk due to foreign exchange rate movement, because gains and losses on these instruments generally offset gains and losses on the assets, liabilities and other transactions being hedged. The Company is exposed to credit-related losses in the event of non-performance by counterparties to certain derivative financial instruments. The Company does not obtain collateral or other security to support derivative financial instruments subject to credit risk, but monitors the credit standing of its counterparties.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the customer are satisfied or at a point in time, which generally occurs either on shipment or on delivery based on contractual terms, which is also when control is transferred. The Company’s primary performance obligation is the distribution and sales of its consumer and commercial products to its customers. In the normal course of business, the Company offers warranties for a variety of its products. The specific terms and conditions of the warranties vary depending upon the specific product and markets in which the products were sold. The Company accrues for the estimated cost of product warranty at the time of sale based on historical experience.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measured as the amount of consideration for which the Company expects to be entitled in exchange for transferring goods or providing services. Certain customers may receive cash and/or non-cash incentives such as cash discounts, returns, credits or reimbursements related to defective products, customer discounts (such as volume or trade discounts), cooperative advertising and other customer-related programs, which are accounted for as variable consideration. In some cases, the Company applies judgment, including contractual rates and historical payment trends, when estimating variable consideration. In addition, the Company participates in various programs and arrangements with customers designed to increase the sale of products by these customers. Among the programs negotiated are arrangements under which allowances are earned by customers for attaining agreed-upon sales levels or for participating in specific marketing programs. Coupon programs are also developed on a customer- and territory-specific basis.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customer programs and arrangements that require sales incentives to be paid in advance, the Company amortizes the amount paid over the period of benefit or contractual sales volume. When incentives are paid in arrears, the Company accrues the estimated amount to be paid based on the program’s contractual terms, expected customer performance and/or estimated sales volume. These estimates are determined using historical customer experience and other factors, which sometimes require significant judgment. Due to the length of time necessary to obtain relevant data from customers, among other factors, actual amounts paid can differ from these estimates.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taxes and other similar taxes are excluded from revenue. The Company elected to account for shipping and handling activities as a fulfillment cost. The Company also elected not to disclose the value of unsatisfied performance obligations for (i) contracts with an original expected length of one year or less and (ii) contracts for which revenue is recognized at the amount to which the Company has the right to invoice for services performed.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intangibles are tested and reviewed for impairment annually during the fourth quarter (on December 1), or more frequently if facts and circumstances warrant.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at a reporting unit level, and all of the Company’s goodwill is assigned to its reporting units. Reporting units are determined based upon the Company’s organizational structure in place at the date of the goodwill impairment testing and generally are one level below the operating segment level. The Company’s operations are comprised of six reporting units, within its three primary operating segments. The Company has the option of first analyzing qualitative factors to determine whether it is more likely than not that the fair value of any reporting unit is less than its carrying amount. However, the Company may elect to perform a quantitative goodwill impairment test in lieu of the qualitative test.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When a qualitative goodwill test is performed, the Company analyzes factors to determine whether it is more likely than not that the fair value of a reporting unit is less than the carrying amount as a basis for determining whether it is necessary to perform the quantitative goodwill impairment test. The evaluation of qualitative factors includes an assessment of relevant facts, events, and circumstances including but not limited to: macroeconomic conditions, industry and market conditions, and the current and forecasted financial performance of the reporting unit. If the qualitative test indicates it is more likely than not that the fair value of a reporting unit is less than the carrying amount the Company performs the quantitative test, which measures the amount of the goodwill impairment, if any.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performing a quantitative assessment, the Company estimates the fair value of each reporting unit by using the income approach. The quantitative goodwill impairment test requires significant use of judgment and assumptions, such as the identification of reporting units; assignment of assets and liabilities to reporting units; and estimation of future cash flows, business growth rates, terminal values, discount rates and total enterprise value.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income approach used is the discounted cash flow methodology and is based on five-year cash flow projections reflecting the Company’s latest projections which included, among other things, the impact of current and projected financial performance of the reporting unit at the time the Company performed its impairment testing. The cash flows projected are analyzed on a debt-free basis (before cash payments to equity and interest-bearing debt investors) in order to develop an enterprise value from operations for the reporting unit. A provision is made, based on these projections, for the value of the reporting unit at the end of the forecast period, or terminal value. The present value of the finite-period cash flows and the terminal value are determined using a selected discount rate. Changes in forecasted operations and other assumptions could materially affect the estimated fair values. Changes in business conditions could potentially require adjustments to these asset valuations.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Company’s annual indefinite-lived intangible asset impairment testing (primarily tradenames), the Company has the option to first analyze qualitative factors to determine whether it is more likely than not that an indefinite-lived intangible asset is impaired. The evaluation of qualitative factors includes an assessment of relevant facts, events, and circumstances including but not limited to: macroeconomic conditions, industry and market conditions, and the current and forecasted financial performance. The Company performs a quantitative test when qualitative factors alone are not sufficient to conclude whether it is more likely than not that an indefinite-lived intangible asset is not impaired. If the Company performs a quantitative test, an impairment loss will only be recognized for the amount by which the carrying value of the indefinite-lived intangible asset exceeds its fair value, not to exceed the total carrying value of the asset.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quantitative testing of indefinite-lived intangibles (primarily tradenames) under established guidelines for impairment requires significant use of judgment and assumptions (such as cash flow projections, royalty rates, terminal values and discount rates). An indefinite-lived intangible asset is impaired by the amount by which its carrying value exceeds its estimated fair value. For impairment testing purposes, the fair value of indefinite-lived intangibles is determined using either the relief from royalty method or the excess earnings method. The relief from royalty method estimates the value of a tradename by discounting the hypothetical avoided royalty payments to their present value over the economic life of the asset. The excess earnings method estimates the value of the intangible asset by quantifying the residual (or excess) cash flows generated by the asset and discounts those cash flows to the present. The excess earnings methodology requires the application of contributory asset charges. Contributory asset charges typically include assumed payments for the use of working capital, tangible assets and other intangible assets. Changes in forecasted operations and other assumptions could materially affect the estimated fair values. Changes in business conditions could potentially require adjustments to these asset valuations.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Long-Lived Assets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continuously evaluates whether impairment indicators related to its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group of assets. The sum of the undiscounted future cash flows attributable to the asset or group of assets is compared to their carrying amount. The cash flows are estimated utilizing various assumptions regarding future sales and expenses, working capital and proceeds from asset disposals on a basis consistent with the Company’s forecasts. If the carrying amount exceeds the sum of the undiscounted future cash flows, the Company discounts the future cash flows using a discount rate required for a similar investment of like risk and records an impairment charge as the difference between the fair value and the carrying value of the asset group. The Company performs its testing of the asset group at the reporting unit level, as this is the lowest level for which identifiable cash flows are available, with the exception of the Yankee Candle business, where testing is performed at the retail store level.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deferred income taxes using the asset and liability approach. Under this approach, deferred income taxes are recognized based on the tax effects of temporary differences between the financial statement and tax bases of assets and liabilities, as measured by current enacted tax rates. Valuation allowances are recorded to reduce the deferred tax assets to an amount that will more likely than not be realized.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regularly reviews its deferred tax assets for recoverability considering historical profitability, projected future taxable income, the expected timing of the reversals of existing temporary differences and tax planning strategies.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uncertain tax positions, the Company applies the provisions of relevant authoritative guidance, which requires application of a “more likely than not” threshold to the recognition and derecognition of tax positions. The Company’s ongoing assessments of the more likely than not outcomes of tax authority examinations and related tax positions require significant judgment and can increase or decrease the Company’s effective tax rate, as well as impact operating results. See </w:t>
      </w:r>
      <w:r>
        <w:rPr>
          <w:rFonts w:ascii="Times New Roman" w:cs="Times New Roman" w:eastAsia="Times New Roman" w:hAnsi="Times New Roman"/>
          <w:sz w:val="18"/>
          <w:szCs w:val="18"/>
          <w:i w:val="1"/>
          <w:iCs w:val="1"/>
          <w:color w:val="auto"/>
        </w:rPr>
        <w:t>Footnote 12</w:t>
      </w:r>
      <w:r>
        <w:rPr>
          <w:rFonts w:ascii="Times New Roman" w:cs="Times New Roman" w:eastAsia="Times New Roman" w:hAnsi="Times New Roman"/>
          <w:sz w:val="18"/>
          <w:szCs w:val="18"/>
          <w:color w:val="auto"/>
        </w:rPr>
        <w:t xml:space="preserve"> for further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Accounts Receivable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factoring agreement with a financial institution to sell certain customer receivables (the “Customer Receivables Purchase Agreement”) up to $700 million. Factored receivables under the Customer Receivables Purchase Agreement at December 31, 2024 were approximately $270 million, an increase of approximately $30 million from December 31, 2023.</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through a wholly-owned special purpose entity (“SPE”), has a three-year factoring agreement with a financial institution to sell up to $225 million, between February and April of each year and up to $275 million at all other times, of certain customer receivables without recourse on a revolving basis (the “Receivables Facility”). Under the Receivables Facility, certain of the Company’s subsidiaries continuously sell their accounts receivables, originated in the U.S., to the SPE and the SPE sells the receivables to the financial institution. The SPE is a variable interest entity for which the Company is considered to be the primary beneficiary. The SPE’s sole business consists of the purchase of receivables from certain subsidiaries of the Company and the subsequent transfer of such receivables to the financial institution. Although the SPE is included in the Company’s consolidated financial statements, it is a separate legal entity with separate creditors. The assets of the SPE are not available to pay creditors of the Company or its subsidiaries. The fair value of these servicing arrangements as well as the fees earned was immaterial. The balance of outstanding accounts receivables sold to the financial institution as of December 31, 2024 was approximately $145 million, an increase of approximately $100 million from December 31, 2023.</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receivables sold under both factoring agreements as sale of financial assets and derecognizes the trade receivables from the Company’s Consolidated Balance Sheet. The Company classifies the proceeds received from the sales of accounts receivable as an operating cash flow and collections of accounts receivables not yet submitted to the financial institutions as financing cash flow in the Consolidated Statements of Cash Flows. The Company records the discounts as other (income) expense, net in the Consolidated Statements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Finance Program Obligations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arrangement with a third-party vendor which provides a service for the Company’s suppliers, at their sole discretion, to sell their receivables due from the Company with various financial institutions who, at their sole discretion, contract with the third-party vendor to participate in the supplier finance program (the “New SCF Program”).</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suppliers agree on contractual terms for the goods and services procured, including prices, quantities and payment terms, regardless of whether the supplier elects to participate in the New SCF Program. The suppliers sell goods or services, as applicable, to the Company and issue the associated invoices to the Company based on the agreed-upon contractual terms. Suppliers that participate in the New SCF Program, at their sole discretion, determine which invoices, if any, they want to sell to the third-party vendor. The suppliers’ voluntary inclusion of invoices in the New SCF Program does not change the Company’s existing contractual terms with its suppliers. The Company does not provide any guarantees or collateral under the New SCF Program, nor does it have any economic interest in a supplier’s decision to participate in the New SCF Program. Amounts due to suppliers participating in the New SCF Program are included in accounts payable in the Consolidated Balance Sheets and amounts paid to suppliers participating in the New SCF Program are classified as operating cash flows in the Consolidated Statements of Cash Flows. Supplier payment terms for those participating in the program averaged approximately 130 days.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New SCF Program, a global financial institution offered a voluntary supply chain finance program (the “Former SCF Program”) which similarly enabled suppliers, at their sole discretion, to sell their receivables due from the Company to the financial institution on a non-recourse basis. Pursuant to the Second Amendment (defined hereafter), a lender under the Credit Revolver</w:t>
      </w:r>
    </w:p>
    <w:p>
      <w:pPr>
        <w:sectPr>
          <w:pgSz w:w="11900" w:h="16838" w:orient="portrait"/>
          <w:cols w:equalWidth="0" w:num="1">
            <w:col w:w="11240"/>
          </w:cols>
          <w:pgMar w:left="320" w:top="109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(defined hereafter) that also participated in the Former SCF Program secured its related financing pursuant to the terms of the Credit Revolver. See </w:t>
      </w:r>
      <w:r>
        <w:rPr>
          <w:rFonts w:ascii="Times New Roman" w:cs="Times New Roman" w:eastAsia="Times New Roman" w:hAnsi="Times New Roman"/>
          <w:sz w:val="18"/>
          <w:szCs w:val="18"/>
          <w:i w:val="1"/>
          <w:iCs w:val="1"/>
          <w:color w:val="auto"/>
        </w:rPr>
        <w:t xml:space="preserve">Footnote 9 </w:t>
      </w:r>
      <w:r>
        <w:rPr>
          <w:rFonts w:ascii="Times New Roman" w:cs="Times New Roman" w:eastAsia="Times New Roman" w:hAnsi="Times New Roman"/>
          <w:sz w:val="18"/>
          <w:szCs w:val="18"/>
          <w:color w:val="auto"/>
        </w:rPr>
        <w:t>for further information. In April 2024, the Company exercised its right to terminate the Former SCF Program with the financial institution.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SCF Program was terminated in August 2024. The termination did not materially impact the Company’s operating results, financial condition or liquidity. There were no outstanding payment obligations relating to the Former SCF Program as of December 31, 2024.</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outstanding payment obligations due to the third-party vendor at December 31, 2024 and to the financial institution at December 31, 2023, and activities related to the suppliers who participated in the New SCF Program or the Former SCF Program (collectively, the “Supplier Finance Programs”), for the years ended December 31, (in millions):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participating in the Supplier Finance Programs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Invoices paid to the applicable financial institution or third-party vendor</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r>
      <w:tr>
        <w:trPr>
          <w:trHeight w:val="21"/>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that have an original maturity of three months or less when purchased. Restricted cash reflects cash received on previously sold customer receivables in connection with the factoring programs that are required to be remitted to a financial institution. Restricted cash is reported as prepaid expenses and other current assets on the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net, include amounts billed and due from customers. Payment terms vary but generally are 90 days or less. An allowance for expected credit losses is based on the amount ultimately expected to be collected from the customer. The Company evaluates the collectability of accounts receivable based on a combination of factors including the length of time the receivables are past due, historical collection experience, current market conditions and forecasted direction of economic and business environment. Accounts deemed uncollectible are written off, net of expected recoveries.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Costs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internal-use software during the application development stage after both the preliminary project stage has been completed and the Company’s management has authorized and committed to funding for further project development. Capitalized internal-use software costs include: (i) external direct costs of materials and services consumed in developing or obtaining the software; (ii) payroll and payroll-related costs for employees who are directly associated with and who devote time directly to the project; and (iii) interest costs incurred while developing the software. Capitalization of these costs ceases no later than the point at which the project is substantially complete and ready for its intended purpose. The Company expenses as incurred research and development, general and administrative, and indirect costs associated with internal-use software. In addition, the Company expenses as incurred training, maintenance and other internal-use software costs incurred during the post-implementation stage. Costs associated with upgrades and enhancements of internal-use software are capitalized only if such modifications result in additional functionality of the software. The Company amortizes internal-use software costs using the straight-line method over the estimated useful life of the software. Capitalized software costs are evaluated annually for indicators of impairment, including but not limited to a significant change in available technology or the manner in which the software is being used. Impaired items are written down to their estimated fair values. Capitalized software are included in other intangible assets, net in the Consolidated Balance Sheets. See </w:t>
      </w:r>
      <w:r>
        <w:rPr>
          <w:rFonts w:ascii="Times New Roman" w:cs="Times New Roman" w:eastAsia="Times New Roman" w:hAnsi="Times New Roman"/>
          <w:sz w:val="18"/>
          <w:szCs w:val="18"/>
          <w:i w:val="1"/>
          <w:iCs w:val="1"/>
          <w:color w:val="auto"/>
        </w:rPr>
        <w:t>Footnote 7</w:t>
      </w:r>
      <w:r>
        <w:rPr>
          <w:rFonts w:ascii="Times New Roman" w:cs="Times New Roman" w:eastAsia="Times New Roman" w:hAnsi="Times New Roman"/>
          <w:sz w:val="18"/>
          <w:szCs w:val="18"/>
          <w:color w:val="auto"/>
        </w:rPr>
        <w:t xml:space="preserve"> for further information.</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implementation costs for certain qualified Software-as-a-Service (“SaaS”) arrangements are also subject to the same accounting criteria described above, when the Company does not own the intellectual property for the software license used in the arrangement. SaaS arrangements are included in prepaid expenses and other current assets and other assets in the Consolidated Balance Sheets. The straight-line amortization of these costs is presented along with the fees related to the hosted cloud computing service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Product Liability Reserves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self-insurance program for product liability that includes reserves for self-retained losses and certain excess and aggregate risk transfer insurance. The Company uses historical loss experience combined with actuarial evaluation methods, review of significant individual files and the application of risk transfer programs in determining required product liability reserves. The Company’s actuarial evaluation methods take into account claims incurred but not reported when determining the Company’s product liability reserve. While the Company believes that it has adequately reserved for these claims, the ultimate outcome of these matters may exceed the amounts recorded by the Company, and such additional losses may be material to the Company’s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offers warranties for a variety of its products. The specific terms and conditions of the warranties vary depending upon the specific product and markets in which the products were sold. The Company accrues for the estimated cost of product warranty at the time of sale based on historical experience.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production costs of print, radio, television and other advertisements as of the first date the advertisements take place, and the Company expenses all other advertising and marketing costs when incurred. Advertising and promotion costs are recorded in selling, general and administrative expenses (“SG&amp;A”) and totaled $417 million, $371 million and $387 million in 2024, 2023 and 2022,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relating to both future and current products are charged to SG&amp;A as incurred. These costs totaled $123 million, $117 million and $140 million in 2024, 2023 and 2022,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significant accounting policies are disclosed as follows:</w:t>
      </w:r>
    </w:p>
    <w:p>
      <w:pPr>
        <w:spacing w:after="0" w:line="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Restructuring – </w:t>
      </w:r>
      <w:r>
        <w:rPr>
          <w:rFonts w:ascii="Times New Roman" w:cs="Times New Roman" w:eastAsia="Times New Roman" w:hAnsi="Times New Roman"/>
          <w:sz w:val="18"/>
          <w:szCs w:val="18"/>
          <w:i w:val="1"/>
          <w:iCs w:val="1"/>
          <w:color w:val="auto"/>
        </w:rPr>
        <w:t>Footnote 4</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Inventory – </w:t>
      </w:r>
      <w:r>
        <w:rPr>
          <w:rFonts w:ascii="Times New Roman" w:cs="Times New Roman" w:eastAsia="Times New Roman" w:hAnsi="Times New Roman"/>
          <w:sz w:val="18"/>
          <w:szCs w:val="18"/>
          <w:i w:val="1"/>
          <w:iCs w:val="1"/>
          <w:color w:val="auto"/>
        </w:rPr>
        <w:t>Footnote 5</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Property, Plant and Equipment – </w:t>
      </w:r>
      <w:r>
        <w:rPr>
          <w:rFonts w:ascii="Times New Roman" w:cs="Times New Roman" w:eastAsia="Times New Roman" w:hAnsi="Times New Roman"/>
          <w:sz w:val="18"/>
          <w:szCs w:val="18"/>
          <w:i w:val="1"/>
          <w:iCs w:val="1"/>
          <w:color w:val="auto"/>
        </w:rPr>
        <w:t>Footnote 6</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Derivative Instruments – </w:t>
      </w:r>
      <w:r>
        <w:rPr>
          <w:rFonts w:ascii="Times New Roman" w:cs="Times New Roman" w:eastAsia="Times New Roman" w:hAnsi="Times New Roman"/>
          <w:sz w:val="18"/>
          <w:szCs w:val="18"/>
          <w:i w:val="1"/>
          <w:iCs w:val="1"/>
          <w:color w:val="auto"/>
        </w:rPr>
        <w:t>Footnote 10</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Foreign Currency Operations – </w:t>
      </w:r>
      <w:r>
        <w:rPr>
          <w:rFonts w:ascii="Times New Roman" w:cs="Times New Roman" w:eastAsia="Times New Roman" w:hAnsi="Times New Roman"/>
          <w:sz w:val="18"/>
          <w:szCs w:val="18"/>
          <w:i w:val="1"/>
          <w:iCs w:val="1"/>
          <w:color w:val="auto"/>
        </w:rPr>
        <w:t>Footnote 10</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Pensions and Postretirement Benefits – </w:t>
      </w:r>
      <w:r>
        <w:rPr>
          <w:rFonts w:ascii="Times New Roman" w:cs="Times New Roman" w:eastAsia="Times New Roman" w:hAnsi="Times New Roman"/>
          <w:sz w:val="18"/>
          <w:szCs w:val="18"/>
          <w:i w:val="1"/>
          <w:iCs w:val="1"/>
          <w:color w:val="auto"/>
        </w:rPr>
        <w:t>Footnote 11</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Leases – </w:t>
      </w:r>
      <w:r>
        <w:rPr>
          <w:rFonts w:ascii="Times New Roman" w:cs="Times New Roman" w:eastAsia="Times New Roman" w:hAnsi="Times New Roman"/>
          <w:sz w:val="18"/>
          <w:szCs w:val="18"/>
          <w:i w:val="1"/>
          <w:iCs w:val="1"/>
          <w:color w:val="auto"/>
        </w:rPr>
        <w:t>Footnote 13</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Share-Based Compensation – </w:t>
      </w:r>
      <w:r>
        <w:rPr>
          <w:rFonts w:ascii="Times New Roman" w:cs="Times New Roman" w:eastAsia="Times New Roman" w:hAnsi="Times New Roman"/>
          <w:sz w:val="18"/>
          <w:szCs w:val="18"/>
          <w:i w:val="1"/>
          <w:iCs w:val="1"/>
          <w:color w:val="auto"/>
        </w:rPr>
        <w:t>Footnote 15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to U.S. GAAP are established by the Financial Accounting Standards Board (“FASB”) in the form of accounting standards updates (“ASUs”) to the FASB’s Accounting Standards Codification. The Company considers the applicability and impact of all ASUs.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standard requires all entities subject to income taxes to disclose disaggregated information about a reporting entity’s effective tax rate reconciliation as well as information on income taxes paid. The new requirement will be effective for annual periods beginning after December 15, 2024. The guidance will be applied on a prospective basis with the option to apply the standard retrospectively. Early adoption is permitted. The Company does not expect the adoption of ASU 2023-09 to have a material impact on the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This ASU requires that each interim and annual reporting period, an entity disclose more information about the components of certain expense captions that is currently disclosed in the financial statements. This update is effective for annual reporting periods beginning after December 15, 2026. Early adoption is permitted. Management is currently evaluating the effects this guidance will have on its consolidated financial statements.</w:t>
      </w:r>
    </w:p>
    <w:p>
      <w:pPr>
        <w:sectPr>
          <w:pgSz w:w="11900" w:h="16838" w:orient="portrait"/>
          <w:cols w:equalWidth="0" w:num="1">
            <w:col w:w="11240"/>
          </w:cols>
          <w:pgMar w:left="320" w:top="848"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Adoption of New Accounting Guidance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In January 2021, the FASB clarified the scope of this guidance with the issuance of ASU 2021-01,</w:t>
      </w:r>
      <w:r>
        <w:rPr>
          <w:rFonts w:ascii="Times New Roman" w:cs="Times New Roman" w:eastAsia="Times New Roman" w:hAnsi="Times New Roman"/>
          <w:sz w:val="18"/>
          <w:szCs w:val="18"/>
          <w:i w:val="1"/>
          <w:iCs w:val="1"/>
          <w:color w:val="auto"/>
        </w:rPr>
        <w:t xml:space="preserve"> Reference Rate Reform: Scope. </w:t>
      </w:r>
      <w:r>
        <w:rPr>
          <w:rFonts w:ascii="Times New Roman" w:cs="Times New Roman" w:eastAsia="Times New Roman" w:hAnsi="Times New Roman"/>
          <w:sz w:val="18"/>
          <w:szCs w:val="18"/>
          <w:color w:val="auto"/>
        </w:rPr>
        <w:t xml:space="preserve">ASU 2020-04 provides optional expedients and exceptions to account for contracts, hedging relationships and other transactions that reference the London Interbank Offered Rate (“LIBOR”) or another reference rate if certain criteria are met. This ASU was further updated with the issuance of ASU 2022-06,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 Reform: Deferral of the Sunset Date of Topic 84</w:t>
      </w:r>
      <w:r>
        <w:rPr>
          <w:rFonts w:ascii="Times New Roman" w:cs="Times New Roman" w:eastAsia="Times New Roman" w:hAnsi="Times New Roman"/>
          <w:sz w:val="18"/>
          <w:szCs w:val="18"/>
          <w:color w:val="auto"/>
        </w:rPr>
        <w:t>8, which extends the sunset date of the guidance. ASU 2020-04 may be applied prospectively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made and hedging relationships entered into or evaluated on or before December 31, 2024. The Company adopted ASU 2020-04 and it did not have a material impact on its consolidated financial statements.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October 2022, the FASB issued ASU 2022-04, “</w:t>
      </w:r>
      <w:r>
        <w:rPr>
          <w:rFonts w:ascii="Times New Roman" w:cs="Times New Roman" w:eastAsia="Times New Roman" w:hAnsi="Times New Roman"/>
          <w:sz w:val="18"/>
          <w:szCs w:val="18"/>
          <w:i w:val="1"/>
          <w:iCs w:val="1"/>
          <w:color w:val="auto"/>
        </w:rPr>
        <w:t>Supplier Finance Programs (Subtopic 405-50): Disclosure of Supplier Finance Program Obligations.</w:t>
      </w:r>
      <w:r>
        <w:rPr>
          <w:rFonts w:ascii="Times New Roman" w:cs="Times New Roman" w:eastAsia="Times New Roman" w:hAnsi="Times New Roman"/>
          <w:sz w:val="18"/>
          <w:szCs w:val="18"/>
          <w:color w:val="auto"/>
        </w:rPr>
        <w:t>” This ASU requires that a buyer in a supplier finance program disclose sufficient information about the program to allow a user of financial statements to better consider the effect of the programs on an entity’s working capital, liquidity and cash flows. This ASU is effective for fiscal years beginning after December 15, 2022, except for the amendment on roll forward information which is effective for fiscal years beginning after December 15, 2023. The Company adopted ASU 2022-04 and it did not have a material impact on its consolidated financial statements. See preceding disclosure for further information.</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amendments in this update require that a public entity disclose on an annual and interim basis significant segment expenses that are regularly provided to the chief operating decision maker (the “CODM”), amount for other segment items by reportable segment and a description of its composition, segment profit and loss and assets, additional measures of segment profit used by the CODM in assessing segment performance and the title and position of the CODM, as well as an explanation of how the CODM uses the reported measures in assessing segment performance and deciding allocation of resources. The amendments in ASU 2023-07 are effective for fiscal years beginning after December 15, 2023, and interim periods within fiscal years beginning after December 15, 2024. The Company adopted ASU 2023-07 and it did not have a material impact on its consolidated financial statements. See </w:t>
      </w:r>
      <w:r>
        <w:rPr>
          <w:rFonts w:ascii="Times New Roman" w:cs="Times New Roman" w:eastAsia="Times New Roman" w:hAnsi="Times New Roman"/>
          <w:sz w:val="18"/>
          <w:szCs w:val="18"/>
          <w:i w:val="1"/>
          <w:iCs w:val="1"/>
          <w:color w:val="auto"/>
        </w:rPr>
        <w:t>Footnote 17</w:t>
      </w:r>
      <w:r>
        <w:rPr>
          <w:rFonts w:ascii="Times New Roman" w:cs="Times New Roman" w:eastAsia="Times New Roman" w:hAnsi="Times New Roman"/>
          <w:sz w:val="18"/>
          <w:szCs w:val="18"/>
          <w:color w:val="auto"/>
        </w:rPr>
        <w:t xml:space="preserve"> for further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2 — Divestiture Activity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2023, the Company sold its Millefiori business, based in Italy, in the Home and Commercial Solutions segment to a third party for purchase price that is not material to the Company. As a result, the Company recorded an immaterial, pretax gain which is included in other (income) expense, net in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2022, the Company sold its Connected Home and Security (“CH&amp;S”) business unit to Resideo Technologies, Inc., for approximately $593 million. As a result, during the year ended December 31, 2022, the Company recorded a pretax gain of $136 million, which was included in other (income) expense, net in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Footnote 3 — Accumulated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display the components of accumulated other comprehensive income (loss) (“AOCL”), net of tax, as of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0"/>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AOCL</w:t>
            </w:r>
          </w:p>
        </w:tc>
      </w:tr>
      <w:tr>
        <w:trPr>
          <w:trHeight w:val="37"/>
        </w:trPr>
        <w:tc>
          <w:tcPr>
            <w:tcW w:w="5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from AOCL to the results of operations for the years ended December 31, were pretax (income) expense of (in millions):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Pension and postretirement costs </w:t>
      </w:r>
      <w:r>
        <w:rPr>
          <w:rFonts w:ascii="Times New Roman" w:cs="Times New Roman" w:eastAsia="Times New Roman" w:hAnsi="Times New Roman"/>
          <w:sz w:val="23"/>
          <w:szCs w:val="23"/>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Derivative financial instruments </w:t>
      </w:r>
      <w:r>
        <w:rPr>
          <w:rFonts w:ascii="Times New Roman" w:cs="Times New Roman" w:eastAsia="Times New Roman" w:hAnsi="Times New Roman"/>
          <w:sz w:val="23"/>
          <w:szCs w:val="23"/>
          <w:color w:val="auto"/>
          <w:vertAlign w:val="superscript"/>
        </w:rPr>
        <w:t>(2)</w:t>
      </w:r>
    </w:p>
    <w:p>
      <w:pPr>
        <w:spacing w:after="0" w:line="290" w:lineRule="exact"/>
        <w:rPr>
          <w:sz w:val="20"/>
          <w:szCs w:val="20"/>
          <w:color w:val="auto"/>
        </w:rPr>
      </w:pPr>
    </w:p>
    <w:p>
      <w:pPr>
        <w:ind w:left="320" w:hanging="231"/>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Footnote 11</w:t>
      </w:r>
      <w:r>
        <w:rPr>
          <w:rFonts w:ascii="Times New Roman" w:cs="Times New Roman" w:eastAsia="Times New Roman" w:hAnsi="Times New Roman"/>
          <w:sz w:val="14"/>
          <w:szCs w:val="14"/>
          <w:color w:val="auto"/>
        </w:rPr>
        <w:t xml:space="preserve"> for further information.</w:t>
      </w:r>
    </w:p>
    <w:p>
      <w:pPr>
        <w:spacing w:after="0" w:line="29" w:lineRule="exact"/>
        <w:rPr>
          <w:rFonts w:ascii="Times New Roman" w:cs="Times New Roman" w:eastAsia="Times New Roman" w:hAnsi="Times New Roman"/>
          <w:sz w:val="14"/>
          <w:szCs w:val="14"/>
          <w:color w:val="auto"/>
        </w:rPr>
      </w:pPr>
    </w:p>
    <w:p>
      <w:pPr>
        <w:ind w:left="320" w:hanging="231"/>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Footnote 10</w:t>
      </w:r>
      <w:r>
        <w:rPr>
          <w:rFonts w:ascii="Times New Roman" w:cs="Times New Roman" w:eastAsia="Times New Roman" w:hAnsi="Times New Roman"/>
          <w:sz w:val="14"/>
          <w:szCs w:val="14"/>
          <w:color w:val="auto"/>
        </w:rPr>
        <w:t xml:space="preserve"> for further information.</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-505460</wp:posOffset>
            </wp:positionV>
            <wp:extent cx="71323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-153670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0" w:lineRule="exact"/>
        <w:rPr>
          <w:sz w:val="20"/>
          <w:szCs w:val="20"/>
          <w:color w:val="auto"/>
        </w:rPr>
      </w:pPr>
    </w:p>
    <w:p>
      <w:pPr>
        <w:sectPr>
          <w:pgSz w:w="11900" w:h="16838" w:orient="portrait"/>
          <w:cols w:equalWidth="0" w:num="2">
            <w:col w:w="6500" w:space="720"/>
            <w:col w:w="4020"/>
          </w:cols>
          <w:pgMar w:left="320" w:top="846"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(benefit) allocated to the components of AOCL for the years ended December 31, are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2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costs</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related to AOCL</w:t>
            </w: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7"/>
        </w:trPr>
        <w:tc>
          <w:tcPr>
            <w:tcW w:w="7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4 — Restructuring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engaged and expects to continue to engage in restructuring activities, which requires management to utilize significant estimates related to the timing and amount of severance and other employee separation costs for workforce reductions and other separation programs and other exit costs associated with restructuring activities. The Company’s accrual for severance and other employee separation costs depends on whether the costs result from an ongoing severance plan or are one-time costs. The Company accounts for relevant expenses as severance costs when we have an established severance policy, statutory requirements dictate the severance amounts, or if our historical experience is to routinely provide certain benefits to impacted employees. The Company recognizes severance costs when it is probable that benefits will be paid and the amount can be reasonably estimated. The Company estimates one-time severance and other employee costs related to exit and disposal activities not resulting from an ongoing severance plan based on the benefits available to the employees being terminated. The Company recognizes these costs when it identifies the specific classification or functions of the employees being terminated, notifies the employees who might be included in the termination, and expects to terminate employees within the legally required notification period. When employees are receiving incentives to stay beyond the legally required notification period, the Company records the cost of their severance over the remaining service period. All cash payments are expected to be paid within one year of charges being incurred.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To better align its resources with its strategy and operating model and to reduce the cost structure of its global operations, the Company commits to restructuring plans as necessary and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Realignment Plan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2024, the Company announced an organizational realignment (the “Realignment Plan”), which is expected to strengthen the Company’s front-end commercial capabilities, such as consumer understanding and brand communication, in support of the “where to play” and “how to win” strategy choices the Company unveiled in June of 2023. In addition to improving accountability, the Realignment Plan was designed to unlock operational efficiencies and cost savings, reduce complexity and free up funds for reinvestment. As part of the Realignment Plan, the Company has made several operating model changes, which entailed: standing up a cross-functional brand management organization, realigning business unit finance to fully support the new global brand management model, further simplifying and standardizing regional go-to-market organizations, and centralizing domestic retail sales teams, the digital technology team, business-aligned accounting personnel, the Manufacturing Quality team, and the Human Resources functions into the appropriate center-led teams to drive standardization, efficiency and scale with a One Newell approach. The Company has also further optimized the Company’s real estate footprint and pursued other cost reduction initiatives. These actions were primarily implemented by the end of 2024. Remaining actions, subject to applicable local law and consultation requirements, are expected to be implemented by the end of fiscal year 2025. Restructuring and restructuring-related charges associated with these actions were estimated to be in the range of $75 million to $90 million. This estimate of charges consists primarily of $60 million to $70 million related to cash severance payments and other termination benefits, $11 million to $16 million associated with office space reduction and consolidation and approximately $4 million of other charges. The Company expects the majority of the aggregate charges to be cash expenditures.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commenced organizational realignment activities during the first quarter of 2024. During the twelve months ended December 31, 2024, the Company recorded restructuring and restructuring-related charges of $37 million and $15 million, respectively. The Company has incurred aggregate charges of $52 million since inception in connection with the Realignment Plan.</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June 2024, as part of optimizing the Company’s real estate footprint, the Company entered into a lease agreement for a new location of its corporate headquarters in Atlanta, Georgia, which will allow it to consolidate five different facilities and bring together employees in the area into a single location. Also in June 2024, the Company entered into an agreement with an unrelated third party to sell and leaseback its current headquarters facility. The transaction closed during the fourth quarter of 2024 and the Company received cash proceeds for the sale, for a purchase price that is not material to the Company. The Company intends to occupy the current facility while waiting to build-out the new facility, which is anticipated to be completed during the first half of fiscal year 2025. The Company wrote down the carrying value of the assets to their fair value less cost to sell and recorded a net charge of $8 million inclusive of a fair market value adjustment related to the below market rental payments associated with the sale leaseback transaction, which was recorded within impairment of goodwill, intangibles and other assets in the Consolidated Statements of Operations for the twelve months ended December 31, 2024. The net charge of $8 million was included in the $15 million restructuring-related charges mentioned above. See </w:t>
      </w:r>
      <w:r>
        <w:rPr>
          <w:rFonts w:ascii="Times New Roman" w:cs="Times New Roman" w:eastAsia="Times New Roman" w:hAnsi="Times New Roman"/>
          <w:sz w:val="18"/>
          <w:szCs w:val="18"/>
          <w:i w:val="1"/>
          <w:iCs w:val="1"/>
          <w:color w:val="auto"/>
        </w:rPr>
        <w:t>Footnote 13</w:t>
      </w:r>
      <w:r>
        <w:rPr>
          <w:rFonts w:ascii="Times New Roman" w:cs="Times New Roman" w:eastAsia="Times New Roman" w:hAnsi="Times New Roman"/>
          <w:sz w:val="18"/>
          <w:szCs w:val="18"/>
          <w:color w:val="auto"/>
        </w:rPr>
        <w:t xml:space="preserve"> for further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Optimization Project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2023, the Company announced a restructuring and cost savings initiative that is intended to simplify and streamline its North American distribution network (the “Network Optimization Project”) in order to improve the Company’s cost structure and operating margins while maintaining focus on customer and consumer fulfillment. The Network Optimization Project incorporated a variety of initiatives, including a reduction in the overall number of distribution centers, an optimization of distribution by location, and completion of select automation investments intended to further streamline the Company’s cost structure and to maximize operating performance. These actions were substantially implemented by the end of 2024. The Company estimated that it will incur approximately $37 million to $49 million in restructuring and restructuring-related charges associated with execution of the Network Optimization Project. This estimate of charges consists primarily of $8 million to $11 million related to cash severance payments and other termination benefits and approximately $29 million to $38 million associated with industrial site reductions. The Company expects that approximately $35 million to $44 million of the aggregate charges will be cash expenditures.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Network Optimization Project, the Company recorded restructuring charges of $3 million and $7 million for the twelve months ended December 31, 2024 and 2023, respectively. The Company also recorded restructuring-related charges of $18 million and $16 million for the twelve months ended December 31, 2024 and 2023, respectively. The Company has incurred aggregate charges of $44 million since inception of the Network Optimization Project.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Phoenix</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2023, the Company announced a restructuring and savings initiative (“Project Phoenix”) that was intended to strengthen the Company by leveraging its scale to further reduce complexity, streamline its operating model and drive operational efficiencies. Project Phoenix was substantially implemented by the end of 2023 and incorporated a variety of initiatives designed to simplify the organizational structure, streamline the Company’s real estate portfolio, centralize the Company’s supply chain functions, transition to a unified One Newell go-to-market model in key international geographies, and reduce overhead costs. The Company estimated that it will incur approximately $100 million to $130 million in restructuring and restructuring-related charges in connection with Project Phoenix. These charges consist primarily of $80 million to $105 million in charges related to severance payments and other termination benefits; $15 million to $20 million in charges associated with office space reductions; and approximately $5 million of other charges, including those associated with employee transition and legal costs. The Company expects approximately $95 million to $120 million of the aggregate charges will be cash expenditures. While the program was mostly complete by the end of 2023, charges were recognized during 2024, as the Company completed remaining actions in accordance with local regulations and consultation requirements.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Project Phoenix, the Company recorded restructuring charges of $2 million and $78 million for the twelve months ended December 31, 2024 and 2023, respectively. The Company also recorded restructuring-related charges of $8 million and $19 million for the twelve months ended December 31, 2024 and 2023, respectively. The Company has incurred aggregate charges of $107 million since inception of Project Phoenix.</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charges, net and restructuring-related charges incurred from inception for the Realignment Plan, Network Optimization Project and Project Phoenix (collectively, the “Plans”)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180" w:type="dxa"/>
            <w:vAlign w:val="bottom"/>
          </w:tcPr>
          <w:p>
            <w:pPr>
              <w:spacing w:after="0"/>
              <w:rPr>
                <w:sz w:val="13"/>
                <w:szCs w:val="13"/>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restructuring</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Restructuring-related</w:t>
            </w:r>
          </w:p>
        </w:tc>
        <w:tc>
          <w:tcPr>
            <w:tcW w:w="320" w:type="dxa"/>
            <w:vAlign w:val="bottom"/>
          </w:tcPr>
          <w:p>
            <w:pPr>
              <w:spacing w:after="0"/>
              <w:rPr>
                <w:sz w:val="13"/>
                <w:szCs w:val="13"/>
                <w:color w:val="auto"/>
              </w:rPr>
            </w:pPr>
          </w:p>
        </w:tc>
        <w:tc>
          <w:tcPr>
            <w:tcW w:w="13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 costs</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200" w:type="dxa"/>
            <w:vAlign w:val="bottom"/>
          </w:tcPr>
          <w:p>
            <w:pPr>
              <w:spacing w:after="0"/>
              <w:rPr>
                <w:sz w:val="16"/>
                <w:szCs w:val="16"/>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18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Realignment Plan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Optimization Project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Phoenix</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6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Restructuring charges, net and restructuring-related charges incurred by reportable business segment in connection with the Plans, since inceptions were as follows (in millions):</w:t>
      </w: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restructuring</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Restructuring-related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4"/>
        </w:trPr>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2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60" w:type="dxa"/>
            <w:vAlign w:val="bottom"/>
          </w:tcPr>
          <w:p>
            <w:pPr>
              <w:spacing w:after="0"/>
              <w:rPr>
                <w:sz w:val="17"/>
                <w:szCs w:val="17"/>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 costs</w:t>
            </w:r>
          </w:p>
        </w:tc>
      </w:tr>
      <w:tr>
        <w:trPr>
          <w:trHeight w:val="37"/>
        </w:trPr>
        <w:tc>
          <w:tcPr>
            <w:tcW w:w="67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Restructuring and Restructuring-Related Charges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incurs other restructuring and restructuring-related charges in connection with various discrete initiatives. The Company recorded $3 million, $10 million and $15 million of other restructuring costs during the twelve months ended December 31, 2024, 2023 and 2022,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Restructuring-related charges are recorded in cost of products sold, SG&amp;A and impairment of other assets in the Consolidated Statements of Operations based on the nature of the underlying charges incurred. During the twelve months ended December 31, 2024, 2023 and 2022, the Company recorded other restructuring-related charges of $16 million, $64 million and $24 million,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Restructuring costs incurred by reportable business segment for all restructuring activities for the years ended December 31, are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2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restructuring costs activity for the year ended December 31, 2024 are as follows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60" w:type="dxa"/>
            <w:vAlign w:val="bottom"/>
          </w:tcPr>
          <w:p>
            <w:pPr>
              <w:spacing w:after="0"/>
              <w:rPr>
                <w:sz w:val="16"/>
                <w:szCs w:val="16"/>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Restructuring Costs, Net</w:t>
            </w:r>
          </w:p>
        </w:tc>
        <w:tc>
          <w:tcPr>
            <w:tcW w:w="400" w:type="dxa"/>
            <w:vAlign w:val="bottom"/>
          </w:tcPr>
          <w:p>
            <w:pPr>
              <w:spacing w:after="0"/>
              <w:rPr>
                <w:sz w:val="16"/>
                <w:szCs w:val="16"/>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r>
      <w:tr>
        <w:trPr>
          <w:trHeight w:val="37"/>
        </w:trPr>
        <w:tc>
          <w:tcPr>
            <w:tcW w:w="31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9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3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restructuring costs activity for the year ended December 31, 2023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 and</w:t>
            </w:r>
          </w:p>
        </w:tc>
        <w:tc>
          <w:tcPr>
            <w:tcW w:w="100" w:type="dxa"/>
            <w:vAlign w:val="bottom"/>
          </w:tcPr>
          <w:p>
            <w:pPr>
              <w:spacing w:after="0"/>
              <w:rPr>
                <w:sz w:val="15"/>
                <w:szCs w:val="15"/>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Balance at December</w:t>
            </w:r>
          </w:p>
        </w:tc>
      </w:t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4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4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37"/>
        </w:trPr>
        <w:tc>
          <w:tcPr>
            <w:tcW w:w="3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3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5 — Inventories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generally determined using first-in, first-out method. The Company reduces its inventory value for estimated obsolete and slow-moving inventory in an amount equal to the difference between the cost of inventory and the net realizable value based upon assumptions about future demand and market conditions. If actual market conditions are less favorable than those projected by management, additional inventory write-downs may be required. Inventory costs include direct materials, direct labor and manufacturing overhead, or when finished goods are sourced, the cost is the amount paid to the third party.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were as follows at December 31,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6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7"/>
        </w:trPr>
        <w:tc>
          <w:tcPr>
            <w:tcW w:w="8600" w:type="dxa"/>
            <w:vAlign w:val="bottom"/>
          </w:tcPr>
          <w:p>
            <w:pPr>
              <w:spacing w:after="0"/>
              <w:rPr>
                <w:sz w:val="20"/>
                <w:szCs w:val="20"/>
                <w:color w:val="auto"/>
              </w:rPr>
            </w:pPr>
          </w:p>
        </w:tc>
        <w:tc>
          <w:tcPr>
            <w:tcW w:w="7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1,400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1,531</w:t>
            </w:r>
          </w:p>
        </w:tc>
      </w:tr>
      <w:tr>
        <w:trPr>
          <w:trHeight w:val="27"/>
        </w:trPr>
        <w:tc>
          <w:tcPr>
            <w:tcW w:w="86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Footnote 6 — Property, Plant and Equipment,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maintenance and repairs are expensed as incurred. Depreciation expense is calculated principally on the straight-line basis. Useful lives determined by the Company are as follows: buildings and improvements (20 - 40 years) and machinery and equipment (3 - 15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at December 31,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6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37"/>
        </w:trPr>
        <w:tc>
          <w:tcPr>
            <w:tcW w:w="86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7"/>
        </w:trPr>
        <w:tc>
          <w:tcPr>
            <w:tcW w:w="86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w:t>
            </w:r>
          </w:p>
        </w:tc>
      </w:tr>
      <w:tr>
        <w:trPr>
          <w:trHeight w:val="27"/>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$188 million, $225 million and $196 million in 2024, 2023 and 2022,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7 — Goodwill and Other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by reportable business segment is as follows for 2024 and 2023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Net Book Value at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left="74"/>
              <w:spacing w:after="0" w:line="15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Pr>
          <w:p>
            <w:pPr>
              <w:spacing w:after="0"/>
              <w:rPr>
                <w:sz w:val="13"/>
                <w:szCs w:val="13"/>
                <w:color w:val="auto"/>
              </w:rPr>
            </w:pPr>
          </w:p>
        </w:tc>
        <w:tc>
          <w:tcPr>
            <w:tcW w:w="1260" w:type="dxa"/>
            <w:vAlign w:val="bottom"/>
            <w:gridSpan w:val="2"/>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left="114"/>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Book</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center"/>
              <w:ind w:right="66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tcPr>
          <w:p>
            <w:pPr>
              <w:jc w:val="center"/>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left="94"/>
              <w:spacing w:after="0" w:line="175" w:lineRule="exact"/>
              <w:rPr>
                <w:sz w:val="20"/>
                <w:szCs w:val="20"/>
                <w:color w:val="auto"/>
              </w:rPr>
            </w:pPr>
            <w:r>
              <w:rPr>
                <w:rFonts w:ascii="Times New Roman" w:cs="Times New Roman" w:eastAsia="Times New Roman" w:hAnsi="Times New Roman"/>
                <w:sz w:val="16"/>
                <w:szCs w:val="16"/>
                <w:b w:val="1"/>
                <w:bCs w:val="1"/>
                <w:color w:val="auto"/>
              </w:rPr>
              <w:t>Exchange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291"/>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800"/>
              <w:spacing w:after="0" w:line="175" w:lineRule="exact"/>
              <w:rPr>
                <w:sz w:val="20"/>
                <w:szCs w:val="20"/>
                <w:color w:val="auto"/>
              </w:rPr>
            </w:pPr>
            <w:r>
              <w:rPr>
                <w:rFonts w:ascii="Times New Roman" w:cs="Times New Roman" w:eastAsia="Times New Roman" w:hAnsi="Times New Roman"/>
                <w:sz w:val="16"/>
                <w:szCs w:val="16"/>
                <w:b w:val="1"/>
                <w:bCs w:val="1"/>
                <w:color w:val="auto"/>
              </w:rPr>
              <w:t>Charges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Learning and Development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2,291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Outdoor and Recreation</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3,071</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3,038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Book Value at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Pr>
          <w:p>
            <w:pPr>
              <w:spacing w:after="0"/>
              <w:rPr>
                <w:sz w:val="13"/>
                <w:szCs w:val="13"/>
                <w:color w:val="auto"/>
              </w:rPr>
            </w:pPr>
          </w:p>
        </w:tc>
        <w:tc>
          <w:tcPr>
            <w:tcW w:w="10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center"/>
              <w:ind w:left="13"/>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100" w:type="dxa"/>
            <w:vAlign w:val="bottom"/>
          </w:tcPr>
          <w:p>
            <w:pPr>
              <w:jc w:val="center"/>
              <w:ind w:right="53"/>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center"/>
              <w:ind w:left="13"/>
              <w:spacing w:after="0" w:line="162" w:lineRule="exact"/>
              <w:rPr>
                <w:sz w:val="20"/>
                <w:szCs w:val="20"/>
                <w:color w:val="auto"/>
              </w:rPr>
            </w:pPr>
            <w:r>
              <w:rPr>
                <w:rFonts w:ascii="Times New Roman" w:cs="Times New Roman" w:eastAsia="Times New Roman" w:hAnsi="Times New Roman"/>
                <w:sz w:val="16"/>
                <w:szCs w:val="16"/>
                <w:b w:val="1"/>
                <w:bCs w:val="1"/>
                <w:color w:val="auto"/>
              </w:rPr>
              <w:t>Book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62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1460" w:type="dxa"/>
            <w:vAlign w:val="bottom"/>
            <w:gridSpan w:val="4"/>
          </w:tcPr>
          <w:p>
            <w:pPr>
              <w:jc w:val="right"/>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94"/>
              <w:spacing w:after="0" w:line="175" w:lineRule="exact"/>
              <w:rPr>
                <w:sz w:val="20"/>
                <w:szCs w:val="20"/>
                <w:color w:val="auto"/>
              </w:rPr>
            </w:pPr>
            <w:r>
              <w:rPr>
                <w:rFonts w:ascii="Times New Roman" w:cs="Times New Roman" w:eastAsia="Times New Roman" w:hAnsi="Times New Roman"/>
                <w:sz w:val="16"/>
                <w:szCs w:val="16"/>
                <w:b w:val="1"/>
                <w:bCs w:val="1"/>
                <w:color w:val="auto"/>
              </w:rPr>
              <w:t>Charges</w:t>
            </w:r>
          </w:p>
        </w:tc>
        <w:tc>
          <w:tcPr>
            <w:tcW w:w="100" w:type="dxa"/>
            <w:vAlign w:val="bottom"/>
          </w:tcPr>
          <w:p>
            <w:pPr>
              <w:spacing w:after="0"/>
              <w:rPr>
                <w:sz w:val="15"/>
                <w:szCs w:val="15"/>
                <w:color w:val="auto"/>
              </w:rPr>
            </w:pPr>
          </w:p>
        </w:tc>
        <w:tc>
          <w:tcPr>
            <w:tcW w:w="100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Exchange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center"/>
              <w:ind w:left="33"/>
              <w:spacing w:after="0" w:line="175"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1"/>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620"/>
              <w:spacing w:after="0" w:line="175" w:lineRule="exact"/>
              <w:rPr>
                <w:sz w:val="20"/>
                <w:szCs w:val="20"/>
                <w:color w:val="auto"/>
              </w:rPr>
            </w:pPr>
            <w:r>
              <w:rPr>
                <w:rFonts w:ascii="Times New Roman" w:cs="Times New Roman" w:eastAsia="Times New Roman" w:hAnsi="Times New Roman"/>
                <w:sz w:val="16"/>
                <w:szCs w:val="16"/>
                <w:b w:val="1"/>
                <w:bCs w:val="1"/>
                <w:color w:val="auto"/>
                <w:w w:val="98"/>
              </w:rPr>
              <w:t>Charges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54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747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Learning and Development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2,324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Outdoor and Recreation</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3,071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8,251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balance of other intangible assets, net and the related amortization periods using the straight-line method and attribution method at December 31, 2024 and 2023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40" w:type="dxa"/>
            <w:vAlign w:val="bottom"/>
          </w:tcPr>
          <w:p>
            <w:pPr>
              <w:spacing w:after="0"/>
              <w:rPr>
                <w:sz w:val="9"/>
                <w:szCs w:val="9"/>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9"/>
                <w:szCs w:val="9"/>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Net Book</w:t>
            </w:r>
          </w:p>
        </w:tc>
        <w:tc>
          <w:tcPr>
            <w:tcW w:w="100" w:type="dxa"/>
            <w:vAlign w:val="bottom"/>
          </w:tcPr>
          <w:p>
            <w:pPr>
              <w:spacing w:after="0"/>
              <w:rPr>
                <w:sz w:val="9"/>
                <w:szCs w:val="9"/>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40" w:type="dxa"/>
            <w:vAlign w:val="bottom"/>
          </w:tcPr>
          <w:p>
            <w:pPr>
              <w:spacing w:after="0"/>
              <w:rPr>
                <w:sz w:val="9"/>
                <w:szCs w:val="9"/>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9"/>
                <w:szCs w:val="9"/>
                <w:color w:val="auto"/>
              </w:rPr>
            </w:pPr>
          </w:p>
        </w:tc>
        <w:tc>
          <w:tcPr>
            <w:tcW w:w="86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120" w:type="dxa"/>
            <w:vAlign w:val="bottom"/>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Amortization</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Periods</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Tradenames - indefinite life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Tradenames - other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intellectual property</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relationships and distributor</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channels</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660" w:hanging="328"/>
        <w:spacing w:after="0" w:line="281"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alignment with the Company’s strategy, the Company determined that certain tradenames with aggregate carrying values of $322 million no longer met the criteria to be classified as indefinite-lived tradenames effective January 1, 2024. The estimated useful lives range from 10 to 15 years, which increased the Company’s annual amortization expense by approximately $25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$135 million, $109 million and $100 million in 2024, 2023 and 2022,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aggregate estimated intangible amortization amounts for the succeeding five years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40" w:type="dxa"/>
            <w:vAlign w:val="bottom"/>
          </w:tcPr>
          <w:p>
            <w:pPr>
              <w:spacing w:after="0"/>
              <w:rPr>
                <w:sz w:val="13"/>
                <w:szCs w:val="13"/>
                <w:color w:val="auto"/>
              </w:rPr>
            </w:pP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48"/>
        </w:trPr>
        <w:tc>
          <w:tcPr>
            <w:tcW w:w="20" w:type="dxa"/>
            <w:vAlign w:val="bottom"/>
            <w:tcBorders>
              <w:bottom w:val="single" w:sz="8" w:color="CCEEFF"/>
            </w:tcBorders>
          </w:tcPr>
          <w:p>
            <w:pPr>
              <w:spacing w:after="0"/>
              <w:rPr>
                <w:sz w:val="4"/>
                <w:szCs w:val="4"/>
                <w:color w:val="auto"/>
              </w:rPr>
            </w:pPr>
          </w:p>
        </w:tc>
        <w:tc>
          <w:tcPr>
            <w:tcW w:w="1680" w:type="dxa"/>
            <w:vAlign w:val="bottom"/>
            <w:tcBorders>
              <w:top w:val="single" w:sz="8" w:color="auto"/>
              <w:bottom w:val="single" w:sz="8" w:color="CCEEFF"/>
            </w:tcBorders>
          </w:tcPr>
          <w:p>
            <w:pPr>
              <w:spacing w:after="0"/>
              <w:rPr>
                <w:sz w:val="4"/>
                <w:szCs w:val="4"/>
                <w:color w:val="auto"/>
              </w:rPr>
            </w:pPr>
          </w:p>
        </w:tc>
        <w:tc>
          <w:tcPr>
            <w:tcW w:w="8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63"/>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20" w:type="dxa"/>
            <w:vAlign w:val="bottom"/>
          </w:tcPr>
          <w:p>
            <w:pPr>
              <w:spacing w:after="0"/>
              <w:rPr>
                <w:sz w:val="21"/>
                <w:szCs w:val="21"/>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bl>
    <w:p>
      <w:pPr>
        <w:spacing w:after="0" w:line="200" w:lineRule="exact"/>
        <w:rPr>
          <w:sz w:val="20"/>
          <w:szCs w:val="20"/>
          <w:color w:val="auto"/>
        </w:rPr>
      </w:pP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elected to perform a qualitative assessment for the Writing reporting unit, with goodwill of $1.9 billion and concluded that there were no events or circumstances that rise to a level that would more likely than not reduce the fair value of the reporting unit below the carrying value; therefore, a quantitative goodwill impairment analysis was not required for the Writing reporting unit. The Company elected to perform quantitative assessments for the Commercial and Baby reporting units with goodwill of $747 million and $415 million, respectively. Based on the Company’s quantitative assessments, no impairment charges were recorded for the Commercial and Baby reporting units.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the Company elected to perform qualitative assessments for two indefinite-lived tradenames in the L&amp;D segment, with total carrying values of $119 million. Based on the qualitative assessments, the Company concluded there were no events or circumstances that rise to a level that would more likely that not reduce the fair value of those indefinite-lived tradenames below the carrying value; therefore, a quantitative impairment analysis was not required for two indefinite-lived tradenames in the L&amp;D segment. The Company elected to perform quantitative assessments for indefinite-lived tradenames in the H&amp;CS and L&amp;D segments with total carrying values of $725 million. Refer to the following table for the results of the quantitative assessments.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impairment charges for goodwill and indefinite-lived tradenames were recorded in the Company’s reporting segments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4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3"/>
                <w:szCs w:val="23"/>
                <w:b w:val="1"/>
                <w:bCs w:val="1"/>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3"/>
                <w:szCs w:val="23"/>
                <w:b w:val="1"/>
                <w:bCs w:val="1"/>
                <w:color w:val="auto"/>
                <w:vertAlign w:val="superscript"/>
              </w:rPr>
              <w:t>(3)</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345</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r>
      <w:tr>
        <w:trPr>
          <w:trHeight w:val="21"/>
        </w:trPr>
        <w:tc>
          <w:tcPr>
            <w:tcW w:w="7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65" w:name="page66"/>
    <w:bookmarkEnd w:id="65"/>
    <w:p>
      <w:pPr>
        <w:jc w:val="both"/>
        <w:ind w:left="340" w:hanging="251"/>
        <w:spacing w:after="0" w:line="259"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2024, in conjunction with its annual impairment testing, the Company recorded non-cash impairment charge of $85 million associated with one tradename in the H&amp;CS segment, as the carrying value exceeded the fair value. The decline in the fair value of the tradename in the H&amp;CS segment was the result of downward revision of forecasted revenue mainly due to a distribution loss, which the Company was informed of during the fourth quarter of 2024. A hypothetical 10% reduction in the forecasted revenue and residual (excess) cash flows used in the excess earnings method applied in determining the fair value of the tradename would have resulted in an incremental impairment charge on the H&amp;CS segment of $22 million. During the third quarter of 2024, the Company concluded that triggering events had occurred for indefinite-lived tradenames in the H&amp;CS and L&amp;D segments, as a result of downward revisions of forecasted cash flows primarily due to lower volume and profitability expectations. The Company performed quantitative impairment tests and determined that the indefinite-lived tradenames in the H&amp;CS and L&amp;D segments, were impaired. During the third quarter of 2024, the Company recorded non-cash impairment charges of $190 million and $70 million for the indefinite-lived tradenames in the H&amp;CS and in the L&amp;D segments, respectively, as the carrying values exceeded their fair values.</w:t>
      </w:r>
    </w:p>
    <w:p>
      <w:pPr>
        <w:spacing w:after="0" w:line="3" w:lineRule="exact"/>
        <w:rPr>
          <w:rFonts w:ascii="Times New Roman" w:cs="Times New Roman" w:eastAsia="Times New Roman" w:hAnsi="Times New Roman"/>
          <w:sz w:val="14"/>
          <w:szCs w:val="14"/>
          <w:color w:val="auto"/>
        </w:rPr>
      </w:pPr>
    </w:p>
    <w:p>
      <w:pPr>
        <w:jc w:val="both"/>
        <w:ind w:left="340" w:hanging="251"/>
        <w:spacing w:after="0" w:line="259"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2023, in conjunction with its annual impairment testing, the Company recorded a non-cash impairment charge of $68 million associated with two tradenames in the H&amp;CS segment, as the carrying values exceeded the fair values. The decline in the fair values of the tradenames in the H&amp;CS segment were due to current market contraction, reflecting a reset of demand levels. During the third quarter of 2023, the Company concluded that a triggering event had occurred for an indefinite-lived tradename in the O&amp;R segment, as a result of a downward revision of forecasted cash flows due to market conditions, as well as rising interest rates. The Company performed a quantitative impairment test and determined that the indefinite-lived tradename in the O&amp;R segment was impaired and recorded a non-cash impairment charge of $22 million for the indefinite-lived tradename in the O&amp;R segment, as the carrying value of the tradename exceeded its fair value. Also, during the third quarter of 2023, the Company concluded that a triggering event had occurred for the goodwill associated with the Baby reporting unit in the L&amp;D segment as a result of a downward revision of forecasted cash flows due to lower volume and profitability expectations, as well as rising interest rates. The Company performed a quantitative impairment test and determined that the Baby reporting unit goodwill was impaired and recorded a non-cash impairment charge of $241 million as the carrying value of the reporting unit exceeded its fair value. During the second quarter of 2023, the Company concluded that a triggering event had occurred for an indefinite-lived tradename in the H&amp;CS segment as a result of a downward revision of forecasted cash flows due to softening global demand, primarily caused by continued inflationary pressure that is impacting discretionary spending behavior of consumers, as well as rising interest rates. The Company performed a quantitative impairment test and determined that the indefinite-lived tradename in the H&amp;CS segment was impaired. During the second quarter of 2023, the Company recorded a non-cash impairment charge of $8 million, as the carrying value of the tradename exceeded its fair value.</w:t>
      </w:r>
    </w:p>
    <w:p>
      <w:pPr>
        <w:spacing w:after="0" w:line="166" w:lineRule="exact"/>
        <w:rPr>
          <w:rFonts w:ascii="Times New Roman" w:cs="Times New Roman" w:eastAsia="Times New Roman" w:hAnsi="Times New Roman"/>
          <w:sz w:val="14"/>
          <w:szCs w:val="14"/>
          <w:color w:val="auto"/>
        </w:rPr>
      </w:pPr>
    </w:p>
    <w:p>
      <w:pPr>
        <w:jc w:val="both"/>
        <w:ind w:left="340" w:hanging="251"/>
        <w:spacing w:after="0" w:line="259"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2022, in conjunction with its annual impairment testing, the Company recorded aggregate non-cash impairment charges of $270 million associated with two tradenames in the H&amp;CS segment and one tradename in the L&amp;D segment, as the carrying values exceeded their fair values. The decline in fair values for one tradename in the H&amp;CS segment and the tradename in the L&amp;D segment reflected a further downward revision to the forecasted cash flows used in connection with the third quarter triggering event assessment, driven by inflationary pressures which are impacting discretionary spending behavior of consumers at higher rates than previously expected, including higher than expected overhead costs. The decline in fair value for the remaining tradename in the H&amp;CS segment reflected a change in management’s assumptions, including the timing of a labor shortage recovery in a certain international market, which negatively impacted the long-term profitability estimates used to develop the forecasted cash flow projections for the annual impairment test. During the third quarter of 2022, the Company concluded that a triggering event had occurred for two indefinite-lived tradenames in the H&amp;CS segment, as a result of a downward revision of forecasted cash flows due to softening global demand, as retailers significantly pulled back on orders in an effort to rebalance inventory and rising interest rates. The decline in global demand is driven primarily by inflationary pressures which are impacting the discretionary spending behavior of consumers. The Company also concluded that a triggering event had occurred for two indefinite-lived tradenames in the L&amp;D segment, as a result of rising interest rates and inflationary pressures. The Company performed a quantitative impairment test and determined that the indefinite-lived tradenames in the H&amp;CS segment and two indefinite-lived tradenames in the L&amp;D segment were impaired. During the third quarter of 2022, the Company recorded an aggregate non-cash impairment charge of $40 million, as the carrying values of these tradenames exceeded their fair values.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its brand strategy including the assessment of indefinite-lived criteria which may impact the future estimated intangible amortization.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8 — Other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included the following at December 31,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6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accruals</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 and freight expenses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expense</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liabilities, contingencies and warranty</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86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6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1,459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accruals are promotional allowances and rebates, including cooperative advertising, given to customers in exchange for their selling efforts and volume purchased, as well as allowances for returns. Payments for annual rebates and other customer programs are generally made in the first quarter of the year. Self-insurance liabilities relate to casualty liabilities such as workers’ compensation, general and product liability and auto liability and are estimated based upon historical loss experience combined with actuarial evaluation methods, review of significant individual files and the application of risk transfer programs.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Footnote 9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outstanding debt, net of unamortized issuance costs and original issue discount, at December 31,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4.000% senior notes due 2024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4.875% senior notes due 2025</w:t>
            </w:r>
          </w:p>
        </w:tc>
        <w:tc>
          <w:tcPr>
            <w:tcW w:w="10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3.900% senior notes due 2025 </w:t>
            </w:r>
            <w:r>
              <w:rPr>
                <w:rFonts w:ascii="Times New Roman" w:cs="Times New Roman" w:eastAsia="Times New Roman" w:hAnsi="Times New Roman"/>
                <w:sz w:val="23"/>
                <w:szCs w:val="23"/>
                <w:color w:val="auto"/>
                <w:vertAlign w:val="superscript"/>
              </w:rPr>
              <w:t>(2)</w:t>
            </w: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4.200% senior notes due 2026</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notes due 2027</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6.625% senior notes due 2029</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notes due 2030</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6.625% senior notes due 2032</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2036</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5.500% senior notes due 2046</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color w:val="auto"/>
                <w:vertAlign w:val="superscript"/>
              </w:rPr>
              <w:t>(1) (2)</w:t>
            </w: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4,904</w:t>
            </w:r>
          </w:p>
        </w:tc>
      </w:tr>
      <w:tr>
        <w:trPr>
          <w:trHeight w:val="27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0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short-term debt and current portion of long-term debt at December 31, 2023.</w:t>
      </w:r>
    </w:p>
    <w:p>
      <w:pPr>
        <w:spacing w:after="0" w:line="2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short-term debt and current portion of long-term debt at December 31,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2024, the Company completed a registered public offering and sale of $750 million of aggregate principal amount of 6.375% senior notes due 2030 (the “2030 Notes”) and $500 million of aggregate principal amount of 6.625% senior notes due 2032 (the “2032 Notes”) (collectively the “Notes”) and received proceeds of approximately $1.24 billion, net of fees and expenses paid. The Notes were issued pursuant to an Indenture, dated as of November 19, 2014, between the Company (formerly known as “Newell Rubbermaid Inc.”) and U.S. Bank Trust Company, National Association (formerly known as “U.S. Bank National Association”), as trustee (the “Trustee”), as supplemented by the First Supplemental Indenture relating to the 2030 Notes, dated November 13, 2024 (the “First Supplemental Indenture”), by and between the Company and the Trustee, and the Second Supplemental Indenture relating to the 2032 Notes, dated November 13, 2024 (the “Second Supplemental Indenture” and, collectively with the First Supplemental Indenture, the “Supplemental Indentures”), by and between the Company and the Trustee. The Supplemental Indentures provide, among other things, that the Notes are senior unsecured obligations of the Company and include covenants that limit the ability of the Company and its subsidiaries to incur or guarantee additional debt, create or permit certain liens, redeem or repurchase certain debt, consummate certain asset sales, make certain loans and investments, consolidate, merge, or sell all or substantially all of the Company and its subsidiaries assets, enter into certain transactions with affiliates and pay distributions on, or redeem or repurchase the Company’s capital stock, subject in each case to certain qualifications and exceptions, including the termination of certain of these covenants upon the Notes receiving investment grade credit ratings. The Company used the proceeds of the offering to fully redeem its outstanding 4.875% senior notes due 2025 and to redeem in part its outstanding 4.200% senior notes due 2026.</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Company fully redeemed its 4.875% notes due 2025 at a redemption price equal to 100% of the outstanding aggregate principal amount of the notes, plus accrued unpaid interest to the date of the redemption. The total consideration was approximately $511 million. The Company also partially redeemed $750 million of the outstanding aggregate amount of the 4.200% senior notes due 2026 at a redemption price of 101.006%. The total consideration, including accrued unpaid interest to the date of its redemption was approximately $764 million. As a result of the aforementioned redemptions, the Company recorded a total loss on debt extinguishment of $13 million.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Company repaid the outstanding aggregate principal amount of its 4.000% senior notes, plus accrued and unpaid interest upon maturity for total consideration of $205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Rating Downgrades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2024, Moody’s Corporation (“Moody’s”) and S&amp;P Global Inc. (“S&amp;P”) downgraded the Company’s senior unsecured debt rating to “Ba3” and “BB-”, respectively. As a result, the Company’s outstanding senior notes aggregating to approximately $3.1 billion at that time (the “Coupon-Step Notes”) were subject to an interest rate increase of 25 basis points for each downgrade, or 50 basis points in the aggregate. The change to the interest rate due to the Moody’s and S&amp;P downgrades collectively increased the Company’s interest expense by approximately $16 million on an annualized basis at the time of the downgrades (approximately $12 million in 2024). The partial redemption of the 4.200% senior notes due 2026 during the fourth quarter of 2024 decreased the aggregate amount of the Coupon-Step Notes to $2.3 billion, resulting in a reduction of the Company’s annualized interest expense impact of the February 2024 Moody’s and S&amp;P downgrades by approximately $4 million, reducing the aggregate annualized impact of the downgrades to approximately $12 million beginning in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the Company maintained a $1.5 billion senior unsecured revolving credit facility (the “Credit Revolver”) maturing in August 2027. On March 27, 2023, the Company entered into an amendment (the “First Amendment”) to (i) include non-cash expenses resulting from grants of stock awards among the items that may be added to Consolidated Net Income when calculating Consolidated Earnings Before Interest, Taxes, Depreciation and Amortization (“EBITDA”), as defined in the First Amendment, and (ii) lower the Interest Coverage Ratio, as defined in the First Amendment, for the fiscal quarters ending on June 30, 2023, September 30, 2023, December 31, 2023 and March 31, 2024.</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7, 2024, the Company, certain of its subsidiaries, as subsidiary borrowers, and certain of its subsidiaries, as subsidiary guarantors, entered into a second amendment to the Credit Revolver agreement (the “Second Amendment”). The Second Amendment, among other things, (i) reduced the commitments of the lenders from $1.5 billion to $1.0 billion, (ii) replaced the Company’s existing financial covenants with new financial covenants testing the Company’s Collateral Coverage Ratio and Total Net Leverage Ratio (each further defined in the Second Amendment), (iii) required the Company and certain of the Company’s domestic and foreign subsidiaries (collectively, the “Guarantors”) to guarantee all obligations under the Credit Revolver including, without limitation, obligations in respect of extensions of credit to any of the borrowers, certain hedging obligations, certain cash management obligations, and certain supply chain financing obligations, and (iv) required the Company and the other Guarantors to grant a lien and security interest in certain of its assets consisting of eligible accounts receivable, eligible inventory, eligible equipment and eligible intellectual property, and all products and proceeds of the foregoing, subject to certain limitations. See </w:t>
      </w:r>
      <w:r>
        <w:rPr>
          <w:rFonts w:ascii="Times New Roman" w:cs="Times New Roman" w:eastAsia="Times New Roman" w:hAnsi="Times New Roman"/>
          <w:sz w:val="18"/>
          <w:szCs w:val="18"/>
          <w:i w:val="1"/>
          <w:iCs w:val="1"/>
          <w:color w:val="auto"/>
        </w:rPr>
        <w:t>Footnote 1</w:t>
      </w:r>
      <w:r>
        <w:rPr>
          <w:rFonts w:ascii="Times New Roman" w:cs="Times New Roman" w:eastAsia="Times New Roman" w:hAnsi="Times New Roman"/>
          <w:sz w:val="18"/>
          <w:szCs w:val="18"/>
          <w:color w:val="auto"/>
        </w:rPr>
        <w:t xml:space="preserve"> for further information with respect to the Company’s Supplier Finance Programs.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Revolver provides for the issuance of up to $150 million of letters of credit, so long as there is sufficient availability for borrowing under the Credit Revolver. At December 31, 2024, the Company had $40 million of outstanding borrowings under the Credit Revolver and approximately $35 million of outstanding standby letters of credit issued against the Credit Revolver, with a net availability of approximately $925 million. Availability under the Credit Revolver is subject to change in accordance with the terms thereof, including in response to changes to the Company’s pledged collateral value or outstanding borrowings and letters of credit under the Credit Revolver.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Debt 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maturities for the five years following December 31, 2024 and thereafter are as follows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15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$4,660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usual and customary nonfinancial covenants, as well as additional covenants contained in the 2030 Notes and 2032 Notes, such as described above. The Company’s borrowing arrangements other than the senior notes contain usual and customary nonfinancial covenants and certain financial covenants, including minimum collateral coverage and net leverage ratios.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Weighted average interest rates for the years ended December 31,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5.8%</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8.0%</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unamortized deferred debt issue costs were $32 million and $24 million, respectively. These costs are included in total debt and are being amortized over the respective terms of the underlying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senior notes are based on quoted market prices and are as follows at December 31,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Book Value</w:t>
            </w: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all other significant debt approximates fair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10 — Derivatives and Foreign Currency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generally used to manage certain interest rate and foreign currency risks. These instruments, from time to time, may primarily include interest rate swaps, forward starting interest rate swaps and forward exchange contracts. The Company’s forward exchange contracts generally do not subject the Company to exchange rate risk because gains and losses on these instruments generally offset gains and losses on the assets, liabilities and other transactions being hedged. However, these instruments, when settled, impact the Company’s cash flows from operations to the extent the underlying transaction being hedged is not simultaneously settled due to an extension, a renewal or otherwise.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date when the Company enters into a derivative, the derivative is designated as a hedge of the identified exposure. The Company measures effectiveness of its hedging relationships both at hedge inception and on an ongoing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Contracts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The settlement of interest rate swaps is included in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approximately $1.0 billion notional amount of interest rate swaps that exchange a fixed rate of interest for a variable rate of interest plus a weighted average spread. These floating rate swaps are designated as fair value hedges against $500 million of principal on the 6.375% senior notes due 2027 and $500 million of principal on the 6.625% senior notes due 2029 for the remaining life of the notes. The effective portion of the fair value gains or losses on these swaps is offset by fair value adjustments in the underlying debt. The swap designated as a fair value hedge associated with the $100 million of principal on the 4.000% senior notes due 2024, matured on December 2024, concurrent with the maturity of the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Contracts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cross-currency swaps to hedge foreign currency risk on certain financing arrangements. The Company previously entered into three cross-currency swaps, maturing in January 2025, February 2025 and September 2027, with an aggregate notional amount of $1.3 billion. During the fourth quarter of 2024, the Company closed two of these cross-currency swaps, ahead of maturities of January 2025 and February 2025, with an aggregate notional amount of $900 million and received total consideration of approximately $27 million. Also, during the fourth quarter of 2024, the Company entered into three new cross-currency swaps, two maturing in November 2026 and one in November 2028, with an aggregate notional amount of $770 million. Each of these cross-currency swaps was designated as a net investment hedge of the Company’s foreign currency exposure of its net investment in certain Euro-functional currency subsidiaries with Euro-denominated net assets, and the Company pays a fixed rate of Euro-based interest and receives a fixed rate of U.S. dollar interest.</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 entered into two cross-currency swaps with an aggregate notional amount of $1.0 billion, maturing in September 2027 and September 2029. These swaps were designated as net investment hedges of the Company’s foreign currency exposure of its net investment in certain Euro-functional currency subsidiaries with Euro-denominated net assets, and the Company pays a floating rate of Euro-based interest and receives a floating rate of U.S. dollar interest.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has cross-currency swaps outstanding with an aggregate notional amount of approximately $2.1 billion. The Company has elected the spot method for assessing the effectiveness of these contracts.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income of $35 million, $38 million and $31 million, respectively, in interest expense, net, related to the portion of cross-currency swaps excluded from hedge effectiveness testing.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Contracts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forward foreign currency contracts to mitigate the foreign currency exchange rate exposure on the cash flows related to forecasted inventory purchases and sales with maturity dates through December 2025. The derivatives used to hedge these forecasted transactions that meet the criteria for hedge accounting are accounted for as cash flow hedges. The effective portion of the gains or losses on these derivatives is deferred as a component of AOCL until it is recognized in earnings at the same time that the hedged item affects earnings and is included in the same caption in the statements of operations as the underlying hedged item. At December 31, 2024, the Company had approximately $337 million notional amount outstanding of forward foreign currency contracts that are designated as cash flow hedges of forecasted inventory purchases and sales.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uses foreign currency contracts, primarily forward foreign currency contracts, to mitigate the foreign currency exposure of certain other foreign currency transactions. At December 31, 2024, the Company had approximately $1.0 billion notional amount outstanding of these foreign currency contracts that are not designated as effective hedges for accounting purposes and have maturity dates through June 2025. Fair market value gains or losses are included in the results of operations and are classified in other (income) expense, net in the Company’s Consolidated Statements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derivative financial instruments at December 31,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360" w:type="dxa"/>
            <w:vAlign w:val="bottom"/>
          </w:tcPr>
          <w:p>
            <w:pPr>
              <w:spacing w:after="0"/>
              <w:rPr>
                <w:sz w:val="3"/>
                <w:szCs w:val="3"/>
                <w:color w:val="auto"/>
              </w:rPr>
            </w:pPr>
          </w:p>
        </w:tc>
        <w:tc>
          <w:tcPr>
            <w:tcW w:w="41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0" w:type="dxa"/>
            <w:vAlign w:val="bottom"/>
          </w:tcPr>
          <w:p>
            <w:pPr>
              <w:spacing w:after="0"/>
              <w:rPr>
                <w:sz w:val="1"/>
                <w:szCs w:val="1"/>
                <w:color w:val="auto"/>
              </w:rPr>
            </w:pPr>
          </w:p>
        </w:tc>
      </w:tr>
      <w:tr>
        <w:trPr>
          <w:trHeight w:val="37"/>
        </w:trPr>
        <w:tc>
          <w:tcPr>
            <w:tcW w:w="4360" w:type="dxa"/>
            <w:vAlign w:val="bottom"/>
            <w:tcBorders>
              <w:bottom w:val="single" w:sz="8" w:color="CCEEFF"/>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effective hedges: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Fair Value Hedges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Investment Hedges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effective hedges: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tcPr>
          <w:p>
            <w:pPr>
              <w:spacing w:after="0"/>
              <w:rPr>
                <w:sz w:val="23"/>
                <w:szCs w:val="23"/>
                <w:color w:val="auto"/>
              </w:rPr>
            </w:pPr>
          </w:p>
        </w:tc>
        <w:tc>
          <w:tcPr>
            <w:tcW w:w="4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income of $26 million, expense of $17 million and expense of $13 million in other (income) expense, net, during 2024, 2023 and 2022, respectively, related to derivatives that are not designated as hedging instruments. Gains and losses on these derivatives are generally offset by foreign currency movement in the underlying exposure.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 party to any derivatives that require collateral to be posted prior to settlement.</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0" w:name="page71"/>
    <w:bookmarkEnd w:id="70"/>
    <w:p>
      <w:pPr>
        <w:spacing w:after="0" w:line="278" w:lineRule="auto"/>
        <w:rPr>
          <w:sz w:val="20"/>
          <w:szCs w:val="20"/>
          <w:color w:val="auto"/>
        </w:rPr>
      </w:pPr>
      <w:r>
        <w:rPr>
          <w:rFonts w:ascii="Times New Roman" w:cs="Times New Roman" w:eastAsia="Times New Roman" w:hAnsi="Times New Roman"/>
          <w:sz w:val="18"/>
          <w:szCs w:val="18"/>
          <w:color w:val="auto"/>
        </w:rPr>
        <w:t>The following table presents pretax gain and (loss) activity for 2024, 2023 and 2022 related to derivative financial instruments designated as effective hedges:</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80" w:type="dxa"/>
            <w:vAlign w:val="bottom"/>
          </w:tcPr>
          <w:p>
            <w:pPr>
              <w:spacing w:after="0"/>
              <w:rPr>
                <w:sz w:val="16"/>
                <w:szCs w:val="16"/>
                <w:color w:val="auto"/>
              </w:rPr>
            </w:pPr>
          </w:p>
        </w:tc>
        <w:tc>
          <w:tcPr>
            <w:tcW w:w="22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00" w:type="dxa"/>
            <w:vAlign w:val="bottom"/>
          </w:tcPr>
          <w:p>
            <w:pPr>
              <w:spacing w:after="0"/>
              <w:rPr>
                <w:sz w:val="16"/>
                <w:szCs w:val="16"/>
                <w:color w:val="auto"/>
              </w:rPr>
            </w:pPr>
          </w:p>
        </w:tc>
        <w:tc>
          <w:tcPr>
            <w:tcW w:w="23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20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4"/>
                <w:szCs w:val="14"/>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from AOCL</w:t>
            </w: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from AOCL</w:t>
            </w: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8"/>
              <w:spacing w:after="0" w:line="159" w:lineRule="exact"/>
              <w:rPr>
                <w:sz w:val="20"/>
                <w:szCs w:val="20"/>
                <w:color w:val="auto"/>
              </w:rPr>
            </w:pPr>
            <w:r>
              <w:rPr>
                <w:rFonts w:ascii="Times New Roman" w:cs="Times New Roman" w:eastAsia="Times New Roman" w:hAnsi="Times New Roman"/>
                <w:sz w:val="14"/>
                <w:szCs w:val="14"/>
                <w:b w:val="1"/>
                <w:bCs w:val="1"/>
                <w:color w:val="auto"/>
              </w:rPr>
              <w:t>from AOCL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3"/>
                <w:szCs w:val="13"/>
                <w:b w:val="1"/>
                <w:bCs w:val="1"/>
                <w:color w:val="auto"/>
              </w:rPr>
              <w:t xml:space="preserve">in OCL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to Income</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3"/>
                <w:szCs w:val="13"/>
                <w:b w:val="1"/>
                <w:bCs w:val="1"/>
                <w:color w:val="auto"/>
              </w:rPr>
              <w:t xml:space="preserve">in OCL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to Income</w:t>
            </w:r>
          </w:p>
        </w:tc>
        <w:tc>
          <w:tcPr>
            <w:tcW w:w="200" w:type="dxa"/>
            <w:vAlign w:val="bottom"/>
          </w:tcPr>
          <w:p>
            <w:pPr>
              <w:spacing w:after="0"/>
              <w:rPr>
                <w:sz w:val="14"/>
                <w:szCs w:val="14"/>
                <w:color w:val="auto"/>
              </w:rPr>
            </w:pPr>
          </w:p>
        </w:tc>
        <w:tc>
          <w:tcPr>
            <w:tcW w:w="1180" w:type="dxa"/>
            <w:vAlign w:val="bottom"/>
            <w:gridSpan w:val="2"/>
          </w:tcPr>
          <w:p>
            <w:pPr>
              <w:ind w:left="140"/>
              <w:spacing w:after="0" w:line="143" w:lineRule="exact"/>
              <w:rPr>
                <w:sz w:val="20"/>
                <w:szCs w:val="20"/>
                <w:color w:val="auto"/>
              </w:rPr>
            </w:pPr>
            <w:r>
              <w:rPr>
                <w:rFonts w:ascii="Times New Roman" w:cs="Times New Roman" w:eastAsia="Times New Roman" w:hAnsi="Times New Roman"/>
                <w:sz w:val="13"/>
                <w:szCs w:val="13"/>
                <w:b w:val="1"/>
                <w:bCs w:val="1"/>
                <w:color w:val="auto"/>
              </w:rPr>
              <w:t xml:space="preserve">in OCL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4"/>
                <w:szCs w:val="14"/>
                <w:color w:val="auto"/>
              </w:rPr>
            </w:pPr>
          </w:p>
        </w:tc>
        <w:tc>
          <w:tcPr>
            <w:tcW w:w="1000" w:type="dxa"/>
            <w:vAlign w:val="bottom"/>
          </w:tcPr>
          <w:p>
            <w:pPr>
              <w:jc w:val="center"/>
              <w:ind w:right="58"/>
              <w:spacing w:after="0" w:line="143" w:lineRule="exact"/>
              <w:rPr>
                <w:sz w:val="20"/>
                <w:szCs w:val="20"/>
                <w:color w:val="auto"/>
              </w:rPr>
            </w:pPr>
            <w:r>
              <w:rPr>
                <w:rFonts w:ascii="Times New Roman" w:cs="Times New Roman" w:eastAsia="Times New Roman" w:hAnsi="Times New Roman"/>
                <w:sz w:val="14"/>
                <w:szCs w:val="14"/>
                <w:b w:val="1"/>
                <w:bCs w:val="1"/>
                <w:color w:val="auto"/>
              </w:rPr>
              <w:t>to Income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740" w:type="dxa"/>
            <w:vAlign w:val="bottom"/>
            <w:tcBorders>
              <w:top w:val="single" w:sz="8" w:color="auto"/>
              <w:bottom w:val="single" w:sz="8" w:color="CCEEFF"/>
            </w:tcBorders>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Interest rate swaps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Cross-currency swaps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40" w:hanging="22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effective portion recognized in Other Comprehensive Loss (“OCL”).</w:t>
      </w:r>
    </w:p>
    <w:p>
      <w:pPr>
        <w:spacing w:after="0" w:line="17" w:lineRule="exact"/>
        <w:rPr>
          <w:rFonts w:ascii="Times New Roman" w:cs="Times New Roman" w:eastAsia="Times New Roman" w:hAnsi="Times New Roman"/>
          <w:sz w:val="14"/>
          <w:szCs w:val="14"/>
          <w:color w:val="auto"/>
        </w:rPr>
      </w:pPr>
    </w:p>
    <w:p>
      <w:pPr>
        <w:ind w:left="640" w:hanging="22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 reclassified from AOCL to income recognized in interest expense, net and in loss on extinguishment of debt.</w:t>
      </w:r>
    </w:p>
    <w:p>
      <w:pPr>
        <w:spacing w:after="0" w:line="11" w:lineRule="exact"/>
        <w:rPr>
          <w:rFonts w:ascii="Times New Roman" w:cs="Times New Roman" w:eastAsia="Times New Roman" w:hAnsi="Times New Roman"/>
          <w:sz w:val="14"/>
          <w:szCs w:val="14"/>
          <w:color w:val="auto"/>
        </w:rPr>
      </w:pPr>
    </w:p>
    <w:p>
      <w:pPr>
        <w:ind w:left="640" w:hanging="22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 reclassified from AOCL to income recognized in net sales and cost of products sold.</w:t>
      </w:r>
    </w:p>
    <w:p>
      <w:pPr>
        <w:spacing w:after="0" w:line="14" w:lineRule="exact"/>
        <w:rPr>
          <w:rFonts w:ascii="Times New Roman" w:cs="Times New Roman" w:eastAsia="Times New Roman" w:hAnsi="Times New Roman"/>
          <w:sz w:val="14"/>
          <w:szCs w:val="14"/>
          <w:color w:val="auto"/>
        </w:rPr>
      </w:pPr>
    </w:p>
    <w:p>
      <w:pPr>
        <w:ind w:left="640" w:hanging="22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 reclassified from AOCL to income recognized in other (income) expense, net.</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deferred net gains of approximately $9 million within AOCL are expected to be reclassified to earnings over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of foreign subsidiaries are translated into U.S. dollars at the rates of exchange in effect at year-end. The related translation adjustments are made directly to AOCL. Income and expenses are translated at the average monthly rates of exchange in effect during the year. Foreign currency transaction gains and losses are included in the results of operations and are generally classified in other (income) expense, net, in the Consolidated Statements of Operations. Foreign currency transaction net losses for 2024, 2023 and 2022 were $6 million, $10 million and $41 million, respectively.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designates certain foreign currency denominated, long-term intercompany financing transactions as being of a long-term investment nature and records gains and losses on the transactions arising from changes in exchange rates as translation adjustments.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11 — Employee Benefit and Retirement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have noncontributory pension, profit sharing and contributory 401(k) plans covering substantially all of their international and domestic employees. Pension plan benefits are generally based on years of service and/or compensation. The Company’s funding policy is to contribute not less than the minimum amounts required by the Employee Retirement Income Security Act of 1974, as amended, the Internal Revenue Code of 1986, as amended, or foreign statutes to ensure that plan assets will be adequate to provide retirement benefits.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funded status of the Company’s defined benefit pension plans and postretirement benefit plans is recognized in the Consolidated Balance Sheets. The funded status is measured as the difference between the fair value of plan assets and the benefit obligation at December 31, the measurement date. For defined benefit pension and postretirement benefit plans, the benefit obligation is the projected benefit obligation (“PBO”), which represents the actuarial present value of benefits expected to be paid upon retirement based on employee services already rendered and estimated future compensation levels. The fair value of plan assets represents the current market value of assets held for the sole benefit of participants. Over funded plans, with the fair value of plan assets exceeding the benefit obligation, are aggregated and recorded as a prepaid pension asset equal to this excess. Underfunded plans, with the benefit obligation exceeding the fair value of plan assets, are aggregated and recorded as a retirement and postretirement benefit obligation equal to this excess. The current portion of the retirement and postretirement benefit obligations represents the actuarial present value of benefits payable in the next 12 months exceeding the fair value of plan assets, measured on a plan-by-plan basis. This obligation is recorded in other accrued liabilities in the Consolidated Balance Sheets. Net periodic pension and postretirement benefit cost/(income) is recorded in the Consolidated Statements of Operations and includes service cost, interest cost, expected return on plan assets, amortization of prior service costs/(credits) and (gains)/losses previously recognized as a component of AOCL and amortization of the net transition asset remaining in AOCL. The service cost component of net benefit cost is recorded in cost of products sold and SG&amp;A in the Consolidated Statements of Operations (unless eligible for capitalization) based on the employees’ respective functions. The other components of net benefit cost are presented separately from service cost within other (income) expense, net in the Consolidated Statements of Operations. In 2025, the amount of AOCL expected to be recognized related to defined benefit pension and postretirement benefit plans is expense of $2 million and income of $3 million,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(Gains)/losses and prior service costs/(credits) are recognized as a component of OCL in the Consolidated Statements of Comprehensive Income (Loss) as they arise. Those (gains)/losses and prior service costs/(credits) are subsequently recognized as a component of net periodic cost/(income) pursuant to the recognition and amortization provisions of applicable accounting guidance. (Gains)/losses arise as a result of differences between actual experience and assumptions or as a result of changes in actuarial assumptions. Prior service costs/(credits) represent the cost of benefit changes attributable to prior service granted in plan amendments.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benefit obligations and net periodic cost/(income)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supplemental executive retirement plans (“SERPs”), which includes features of both nonqualified defined benefit and defined contribution plans pursuant to which the Company will pay supplemental benefits to certain key employees upon retirement based upon the employees’ years of service and compensation. The SERPs are primarily funded through a trust agreement with a trustee that owns life insurance policies on both active and former key employees as well as cash and mutual funds. The life insurance contracts are accounted for using the investment method. All premiums paid and proceeds received associated with the life insurance policies are included as investing activities in the Consolidated Statements of Cash Flows. The life insurance contracts had a cash surrender value of $142 million at December 31, 2024 and $139 million at December 31, 2023. The value of the Company’s investments in the life insurance contracts at their cash surrender value, cash and mutual funds as of December 31, 2024 and 2023, was $148 million and $141 million, respectively, and is included in other assets in the Consolidated Balance Sheets. The projected benefit obligation was $86 million and $95 million at December 31, 2024 and 2023, respectively, and is included in other accrued liabilities in the Consolidated Balance Sheets. The life insurance policies on both active and former key employees had aggregate net death benefits of $258 million as of December 31, 2024. The SERP liabilities are disclosed in the table hereafter; however, the value of the Company’s investments in the life insurance contracts, cash and mutual funds are excluded from the table, as they do not qualify as plan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matching contributions to the Company’s contributory 401(k) plans were $34 million for 2024 and $37 million for each of 2023 and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Defined Benefit Plan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the Company received a court ruling with respect to determining the benefits certain pensioners related to an international subsidiary were entitled to receive upon converting their defined benefit to a defined contribution. During the first quarter of 2024, the legal proceeding was concluded and the Company reduced its underlying pension obligation by approximately $11 million, with a corresponding offset to AOCL.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the Company completed a “buy-out” of approximately 7% of the PBO of one of its U.K. defined benefit pension plans (“U.K. Plan”). The “buy-out” was completed by the execution of a Deed Poll Agreement and a Deed of Assignment with an insurance company. In September 2023, the Company completed the “buy-out” of the remaining PBO of the aforementioned plan through the execution of a Deed Poll Agreement and a Deed of Assignment with an insurance company. In connection with these transactions, the Company recorded a pretax settlement loss of $66 million in other (income) expense, net, in the Company’s Consolidated Statements of Operations, related to the recognition of previously unrecognized actuarial losses reclassified from AOCL to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Defined Benefit Plan Partial Buyout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an agreement with an insurance company to purchase a group annuity contract to settle approximately $163 million of PBO for approximately 55% of retirees in one of its U.S. defined benefit pension plans. In November 2023, the Company completed the “buy-out” and in connection with the transaction, the Company recorded a pretax settlement loss of $60 million in other (income) expense, net, in the Company’s Consolidated Statements of Operations, related to the recognition of previously unrecognized actuarial losses reclassified from AOCL to losses. The transaction or the transfer of the pension liability to the insurance company was funded with the plan’s existing assets. In April 2024, the plan received a refund of approximately $7 million from the insurance company as a result of various data changes from the original annuity estimate. The refund is an asset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provides a reconciliation of benefit obligations, plan assets and funded status of the Company’s qualified noncontributory defined benefit pension plans as well as the Company’s material nonqualified retirement plans including its other postretirement benefit plans and SERPs at December 31, (dollars in millions):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60" w:type="dxa"/>
            <w:vAlign w:val="bottom"/>
          </w:tcPr>
          <w:p>
            <w:pPr>
              <w:spacing w:after="0"/>
              <w:rPr>
                <w:sz w:val="20"/>
                <w:szCs w:val="20"/>
                <w:color w:val="auto"/>
              </w:rPr>
            </w:pPr>
          </w:p>
        </w:tc>
        <w:tc>
          <w:tcPr>
            <w:tcW w:w="16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140" w:type="dxa"/>
            <w:vAlign w:val="bottom"/>
          </w:tcPr>
          <w:p>
            <w:pPr>
              <w:spacing w:after="0"/>
              <w:rPr>
                <w:sz w:val="20"/>
                <w:szCs w:val="20"/>
                <w:color w:val="auto"/>
              </w:rPr>
            </w:pP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SERPs</w:t>
            </w:r>
          </w:p>
        </w:tc>
        <w:tc>
          <w:tcPr>
            <w:tcW w:w="580" w:type="dxa"/>
            <w:vAlign w:val="bottom"/>
          </w:tcPr>
          <w:p>
            <w:pPr>
              <w:spacing w:after="0"/>
              <w:rPr>
                <w:sz w:val="20"/>
                <w:szCs w:val="20"/>
                <w:color w:val="auto"/>
              </w:rPr>
            </w:pPr>
          </w:p>
        </w:tc>
      </w:tr>
      <w:tr>
        <w:trPr>
          <w:trHeight w:val="237"/>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Actuarial (gain) loss</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Amendments</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Benefits paid</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Curtailments, settlements and other</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Benefit obligation at end of year </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53"/>
        </w:trPr>
        <w:tc>
          <w:tcPr>
            <w:tcW w:w="4100" w:type="dxa"/>
            <w:vAlign w:val="bottom"/>
            <w:shd w:val="clear" w:color="auto" w:fill="CCEEFF"/>
          </w:tcPr>
          <w:p>
            <w:pPr>
              <w:spacing w:after="0"/>
              <w:rPr>
                <w:sz w:val="20"/>
                <w:szCs w:val="20"/>
                <w:color w:val="auto"/>
              </w:rPr>
            </w:pPr>
            <w:r>
              <w:rPr>
                <w:rFonts w:ascii="Georgia" w:cs="Georgia" w:eastAsia="Georgia" w:hAnsi="Georgia"/>
                <w:sz w:val="16"/>
                <w:szCs w:val="16"/>
                <w:color w:val="auto"/>
              </w:rPr>
              <w:t xml:space="preserve">Fair value of plan assets at beginning of year </w:t>
            </w:r>
            <w:r>
              <w:rPr>
                <w:rFonts w:ascii="Georgia" w:cs="Georgia" w:eastAsia="Georgia" w:hAnsi="Georgia"/>
                <w:sz w:val="21"/>
                <w:szCs w:val="21"/>
                <w:color w:val="auto"/>
                <w:vertAlign w:val="superscript"/>
              </w:rPr>
              <w:t>(2)</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6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Contributions</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Benefits paid</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Settlements and other</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Fair value of plan assets at end of year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Funded status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w:t>
            </w:r>
          </w:p>
        </w:tc>
      </w:tr>
      <w:tr>
        <w:trPr>
          <w:trHeight w:val="21"/>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recognized in the Consolidated Balance Sheets: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Prepaid benefit cost, included in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current benefit cost—other accrued liabilities</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Accrued noncurrent benefit cost— other noncurrent liabilities</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r>
      <w:tr>
        <w:trPr>
          <w:trHeight w:val="261"/>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amount recognized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3"/>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Weighted-average assumptions used to determine benefit obligation:</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4.84 %</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4.91 %</w:t>
            </w:r>
          </w:p>
        </w:tc>
      </w:tr>
      <w:tr>
        <w:trPr>
          <w:trHeight w:val="240"/>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rate of compensation increase</w:t>
            </w:r>
          </w:p>
        </w:tc>
        <w:tc>
          <w:tcPr>
            <w:tcW w:w="16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4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health care cost trend rates</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5.87 %</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Ultimate health care cost trend rates</w:t>
            </w:r>
          </w:p>
        </w:tc>
        <w:tc>
          <w:tcPr>
            <w:tcW w:w="160" w:type="dxa"/>
            <w:vAlign w:val="bottom"/>
          </w:tcPr>
          <w:p>
            <w:pPr>
              <w:spacing w:after="0"/>
              <w:rPr>
                <w:sz w:val="19"/>
                <w:szCs w:val="19"/>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91" w:lineRule="exact"/>
        <w:rPr>
          <w:sz w:val="20"/>
          <w:szCs w:val="20"/>
          <w:color w:val="auto"/>
        </w:rPr>
      </w:pPr>
    </w:p>
    <w:p>
      <w:pPr>
        <w:ind w:left="660" w:hanging="247"/>
        <w:spacing w:after="0" w:line="261" w:lineRule="auto"/>
        <w:tabs>
          <w:tab w:leader="none" w:pos="6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accumulated benefit obligation for all defined benefit pension plans was $799 million and $854 million at December 31, 2024 and 2023, respectively. The accumulated benefit obligation for the SERPs was $86 million and $95 million at December 31, 2024 and 2023, respectively.</w:t>
      </w:r>
    </w:p>
    <w:p>
      <w:pPr>
        <w:jc w:val="both"/>
        <w:ind w:left="660" w:hanging="247"/>
        <w:spacing w:after="0" w:line="262" w:lineRule="auto"/>
        <w:tabs>
          <w:tab w:leader="none" w:pos="6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preceding table reflects the benefit obligation associated with the Company’s pension benefits including its postretirement benefit plans and the SERPs. There are no plan assets associated with the Company’s postretirement benefit plans. The SERPs are primarily funded through a trust agreement with a trustee that owns life insurance policies on both active and former key employees as well as cash and mutual funds. As of December 31, 2024 and 2023, the value of the Company’s investments in the life insurance contracts at their cash surrender value, cash and mutual funds was $148 million and $141 million, respectively, which have been excluded from the fair value of plan assets, as they do not qualify as plan assets. Such asset values exceeded the SERPs obligation by $62 million and $46 million as of December 31, 2024 and 2023,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healthcare cost trend rate gradually declines through 2038 to the ultimate trend rate and remains level thereafter.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under-funded or non-funded pension benefit plans with projected benefit obligations in excess of plan assets at December 31,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Pr>
          <w:p>
            <w:pPr>
              <w:spacing w:after="0"/>
              <w:rPr>
                <w:sz w:val="18"/>
                <w:szCs w:val="18"/>
                <w:color w:val="auto"/>
              </w:rPr>
            </w:pPr>
          </w:p>
        </w:tc>
        <w:tc>
          <w:tcPr>
            <w:tcW w:w="22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00" w:type="dxa"/>
            <w:vAlign w:val="bottom"/>
            <w:tcBorders>
              <w:bottom w:val="single" w:sz="8" w:color="auto"/>
            </w:tcBorders>
          </w:tcPr>
          <w:p>
            <w:pPr>
              <w:spacing w:after="0"/>
              <w:rPr>
                <w:sz w:val="18"/>
                <w:szCs w:val="18"/>
                <w:color w:val="auto"/>
              </w:rPr>
            </w:pPr>
          </w:p>
        </w:tc>
      </w:tr>
      <w:tr>
        <w:trPr>
          <w:trHeight w:val="211"/>
        </w:trPr>
        <w:tc>
          <w:tcPr>
            <w:tcW w:w="86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312"/>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Fair value of plan assets </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0" w:lineRule="exact"/>
        <w:rPr>
          <w:sz w:val="20"/>
          <w:szCs w:val="20"/>
          <w:color w:val="auto"/>
        </w:rPr>
      </w:pP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Summary of pension plans with accumulated obligations in excess of plan assets at December 31,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Pr>
          <w:p>
            <w:pPr>
              <w:spacing w:after="0"/>
              <w:rPr>
                <w:sz w:val="18"/>
                <w:szCs w:val="18"/>
                <w:color w:val="auto"/>
              </w:rPr>
            </w:pPr>
          </w:p>
        </w:tc>
        <w:tc>
          <w:tcPr>
            <w:tcW w:w="22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00" w:type="dxa"/>
            <w:vAlign w:val="bottom"/>
            <w:tcBorders>
              <w:bottom w:val="single" w:sz="8" w:color="auto"/>
            </w:tcBorders>
          </w:tcPr>
          <w:p>
            <w:pPr>
              <w:spacing w:after="0"/>
              <w:rPr>
                <w:sz w:val="18"/>
                <w:szCs w:val="18"/>
                <w:color w:val="auto"/>
              </w:rPr>
            </w:pPr>
          </w:p>
        </w:tc>
      </w:tr>
      <w:tr>
        <w:trPr>
          <w:trHeight w:val="211"/>
        </w:trPr>
        <w:tc>
          <w:tcPr>
            <w:tcW w:w="86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30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Fair value of plan assets </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38" w:lineRule="exact"/>
        <w:rPr>
          <w:sz w:val="20"/>
          <w:szCs w:val="20"/>
          <w:color w:val="auto"/>
        </w:rPr>
      </w:pPr>
    </w:p>
    <w:p>
      <w:pPr>
        <w:jc w:val="both"/>
        <w:ind w:left="660" w:hanging="247"/>
        <w:spacing w:after="0" w:line="271" w:lineRule="auto"/>
        <w:tabs>
          <w:tab w:leader="none" w:pos="6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preceding tables reflect the benefit obligation associated with the Company’s nonqualified pension benefits including its postretirement benefit plans and the SERPs. There are no plan assets associated with the Company’s postretirement benefit plans. The SERPs are primarily funded through a trust agreement with a trustee that owns life insurance policies on both active and former key employees as well as cash and mutual funds, which are not reflected in the fair value of plan assets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Postretirement Benefit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pension, postretirement benefit and SERPs expense for the periods indicated are as follows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37"/>
        </w:trPr>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7"/>
        </w:trPr>
        <w:tc>
          <w:tcPr>
            <w:tcW w:w="37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40" w:type="dxa"/>
            <w:vAlign w:val="bottom"/>
          </w:tcPr>
          <w:p>
            <w:pPr>
              <w:spacing w:after="0"/>
              <w:rPr>
                <w:sz w:val="20"/>
                <w:szCs w:val="20"/>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r>
      <w:tr>
        <w:trPr>
          <w:trHeight w:val="25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Prior service cost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3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actuarial loss</w:t>
            </w:r>
          </w:p>
        </w:tc>
        <w:tc>
          <w:tcPr>
            <w:tcW w:w="2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 settlement and termination costs</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(income) expense</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3"/>
        </w:trPr>
        <w:tc>
          <w:tcPr>
            <w:tcW w:w="50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Weighted average assumption used to calculate net periodic cost: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discount rate for benefit obligations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3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Effective rate for interest on benefit obligations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r>
      <w:tr>
        <w:trPr>
          <w:trHeight w:val="253"/>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rate for service cost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0.96 %</w:t>
            </w:r>
          </w:p>
        </w:tc>
      </w:tr>
      <w:tr>
        <w:trPr>
          <w:trHeight w:val="23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Effective rate for interest on service cost</w:t>
            </w: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20"/>
                <w:szCs w:val="20"/>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0.78 %</w:t>
            </w:r>
          </w:p>
        </w:tc>
      </w:tr>
      <w:tr>
        <w:trPr>
          <w:trHeight w:val="253"/>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rate of return on plan assets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2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Long-term rate of compensation increase</w:t>
            </w: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r>
      <w:tr>
        <w:trPr>
          <w:trHeight w:val="401"/>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SERPs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3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37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actuarial (gain)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(income) expense</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3"/>
        </w:trPr>
        <w:tc>
          <w:tcPr>
            <w:tcW w:w="50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Weighted average assumption used to calculate net periodic cost: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discount rate for benefit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2.56 %</w:t>
            </w:r>
          </w:p>
        </w:tc>
      </w:tr>
      <w:tr>
        <w:trPr>
          <w:trHeight w:val="21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Effective rate for interest on benefit obligations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rate for service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r>
      <w:tr>
        <w:trPr>
          <w:trHeight w:val="21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Effective rate for interest on service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rate of compensation increase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postretirement and SERPs costs other than the service cost component are included in other (income) expense, net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employs a total return investment approach for its pension plans whereby a mix of equities and fixed income investments are used to optimize the long-term return of pension plan assets. The intent of this strategy is to minimize plan expenses by outperforming plan liabilities over the long run. Risk tolerance is established through careful consideration of plan liabilities,</w:t>
      </w:r>
    </w:p>
    <w:p>
      <w:pPr>
        <w:sectPr>
          <w:pgSz w:w="11900" w:h="16838" w:orient="portrait"/>
          <w:cols w:equalWidth="0" w:num="1">
            <w:col w:w="11240"/>
          </w:cols>
          <w:pgMar w:left="320" w:top="117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plan funded status, and the Company’s financial condition. The domestic investment portfolios contain a diversified blend of equity and fixed-income investments. The domestic equity investments are diversified across geography and market capitalization through investments in U.S. large-capitalization stocks, U.S. small-capitalization stocks and international securities. The domestic fixed income investments are primarily comprised of investment-grade and high-yield securities through investments in corporate and government bonds, government agencies and asset-backed securities. The Level 1 investments are primarily based upon quoted market prices. The domestic Level 3 investments are primarily comprised of insurance contracts valued at contract value. The investments excluded from the fair value hierarchy are net asset value-based (“NAV-based”) hedge fund investments that generally have a redemption frequency of 90 days or less, with various redemption notice periods that are generally less than a month. The notice periods for certain investments may vary based on the size of the redemption. The international Level 2 investments are primarily comprised of insurance contracts whose fair values are estimated based on the future cash flows to be received under the contracts discounted to the present using a discount rate that approximates the discount rate used to measure the associated pension plan liabilities. The international Level 3 investments are primarily comprised of insurance contracts valued at contract value. Investment risk is measured and monitored on an ongoing basis through annual liability measurements, periodic asset/liability studies and quarterly investment portfolio reviews.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expected long-term rate of return for plan assets is based upon many factors, including expected asset allocations, historical asset returns, current and expected future market conditions, risk and active management premiums. The expected long-term rate of return is adjusted when there are fundamental changes in expected returns on the Company’s defined benefit pension plan’s investments. The target asset allocations for the Company’s domestic pension plans may vary by plan, based in part on plan demographics, funded status and liability duration. In general, the Company’s target asset allocations are as follows: equities approximately 25%; fixed income approximately 70%; multi-sector fixed-income approximately 5% and nominal for cash, alternative investments and other at December 31, 2024. Actual asset allocations may vary from the targeted allocations for various reasons, including market conditions and the timing of transactions. The Company maintains numerous international defined benefit pension plans. The asset allocations for the international investment may vary by plan and jurisdiction and are primarily based upon the plan structure and plan participant profile.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domestic pension plan assets at December 31, 2024 and 2023 is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 Assets — Domestic Plans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 Assets — Domestic Plans</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composition of international pension plan assets at December 31, 2024 and 2023 is as follows (in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Plan Assets — International Plans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insured assets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Plan Assets — International Plans</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w w:val="98"/>
              </w:rPr>
              <w:t>NAV-based</w:t>
            </w:r>
          </w:p>
        </w:tc>
        <w:tc>
          <w:tcPr>
            <w:tcW w:w="24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and funds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 and funds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insured assets and 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change in fair value of the defined benefit plans’ assets using significant unobservable inputs (Level 3) for 2024 and 2023 is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9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Balance at December 31,</w:t>
            </w: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9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Purchases, sales, settlements and 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48"/>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Balance at December 31,</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and 2023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 and Estimated Future Benefit Payments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2025, the Company expects to make no cash contributions to its domestic defined benefit plan, approximately $6 million to its international defined benefit plans, $4 million to its other postretirement benefit plans and $10 million to its SERPs.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benefit payments under the Company’s defined benefit pension plans, other postretirement benefit plans and SERPs are as follows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SERPs</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Footnote 12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for the years ended December 31,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for the years ended December 31, (in millions):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9"/>
        </w:trPr>
        <w:tc>
          <w:tcPr>
            <w:tcW w:w="7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2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provision (benefit)</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statutory rate to the effective income tax rate on a continuing basis is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4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8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Statutory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Add (deduct) effect of:</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14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(14.8)</w:t>
            </w:r>
          </w:p>
        </w:tc>
      </w:tr>
      <w:tr>
        <w:trPr>
          <w:trHeight w:val="27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U.S. foreign inclusions and foreign tax credit </w:t>
            </w:r>
            <w:r>
              <w:rPr>
                <w:rFonts w:ascii="Times New Roman" w:cs="Times New Roman" w:eastAsia="Times New Roman" w:hAnsi="Times New Roman"/>
                <w:sz w:val="23"/>
                <w:szCs w:val="23"/>
                <w:color w:val="auto"/>
                <w:vertAlign w:val="superscript"/>
              </w:rPr>
              <w:t>(1)</w:t>
            </w: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3"/>
                <w:szCs w:val="23"/>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3"/>
                <w:szCs w:val="23"/>
                <w:color w:val="auto"/>
              </w:rPr>
            </w:pP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(43.5)</w:t>
            </w: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4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(47.2)</w:t>
            </w:r>
          </w:p>
        </w:tc>
      </w:tr>
      <w:tr>
        <w:trPr>
          <w:trHeight w:val="27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Change in uncertain tax positions </w:t>
            </w:r>
            <w:r>
              <w:rPr>
                <w:rFonts w:ascii="Times New Roman" w:cs="Times New Roman" w:eastAsia="Times New Roman" w:hAnsi="Times New Roman"/>
                <w:sz w:val="23"/>
                <w:szCs w:val="23"/>
                <w:color w:val="auto"/>
                <w:vertAlign w:val="superscript"/>
              </w:rPr>
              <w:t>(2)</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3"/>
                <w:szCs w:val="23"/>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16.7</w:t>
            </w: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 reserve</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businesses</w:t>
            </w: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(21.2)</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loss</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Reversal of outside basis difference</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to provision</w:t>
            </w:r>
          </w:p>
        </w:tc>
        <w:tc>
          <w:tcPr>
            <w:tcW w:w="14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taxes</w:t>
            </w: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income inclusions on asset transfers</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50.3</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tax credits</w:t>
            </w:r>
          </w:p>
        </w:tc>
        <w:tc>
          <w:tcPr>
            <w:tcW w:w="140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6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rate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16.9 %</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28.5 %</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tax on global intangible low-taxed income (“GILTI”) as a period cost and the effects are included herein.</w:t>
      </w:r>
    </w:p>
    <w:p>
      <w:pPr>
        <w:spacing w:after="0" w:line="17" w:lineRule="exact"/>
        <w:rPr>
          <w:rFonts w:ascii="Times New Roman" w:cs="Times New Roman" w:eastAsia="Times New Roman" w:hAnsi="Times New Roman"/>
          <w:sz w:val="14"/>
          <w:szCs w:val="14"/>
          <w:color w:val="auto"/>
        </w:rPr>
      </w:pPr>
    </w:p>
    <w:p>
      <w:pPr>
        <w:ind w:left="660" w:right="20" w:hanging="328"/>
        <w:spacing w:after="0" w:line="259"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$64 million, or 24.6%, income tax benefit as a result of the completion of tax authorities’ examination in the U.S. for the years 2011 to 2015 and Brazil for years 2015 to 2017.</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has accumulated unremitted earnings generated by our foreign subsidiaries of approximately $4.6 billion. A portion of these earnings were previously subject to U.S. federal taxation via various U.S. foreign inclusion provisions. The Company does not assert indefinite reinvestment on a portion of its unremitted earnings of certain foreign subsidiaries as of December 31, 2024 and recognized deferred income taxes of approximately $13 million, primarily related to the</w:t>
      </w:r>
    </w:p>
    <w:p>
      <w:pPr>
        <w:sectPr>
          <w:pgSz w:w="11900" w:h="16838" w:orient="portrait"/>
          <w:cols w:equalWidth="0" w:num="1">
            <w:col w:w="11240"/>
          </w:cols>
          <w:pgMar w:left="320" w:top="1062"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future withholding tax effects of those unremitted foreign earnings. With respect to unremitted earnings of $4.6 billion and any other additional outside basis differences where the Company is continuing to assert indefinite reinvestment, any future reversals could be subject to additional foreign withholding taxes, U.S. state taxes and certain tax impacts relating to foreign currency exchange effects on any future repatriations of the unremitted earnings. The determination of any unrecognized deferred tax liabilities on the amount of unremitted earnings and other outside basis differences where the Company is asserting indefinite reinvestment is not practicable.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 at December 31,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6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credits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Amortizable intangibles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instruments</w:t>
            </w:r>
          </w:p>
        </w:tc>
        <w:tc>
          <w:tcPr>
            <w:tcW w:w="7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after valuation allowance</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depreciation</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Amortizable intangibles</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assets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instruments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deferred tax liabilities</w:t>
            </w: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0" w:type="dxa"/>
            <w:vAlign w:val="bottom"/>
          </w:tcPr>
          <w:p>
            <w:pPr>
              <w:spacing w:after="0"/>
              <w:rPr>
                <w:sz w:val="1"/>
                <w:szCs w:val="1"/>
                <w:color w:val="auto"/>
              </w:rPr>
            </w:pPr>
          </w:p>
        </w:tc>
      </w:tr>
      <w:tr>
        <w:trPr>
          <w:trHeight w:val="26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net deferred tax amounts have been classified in the balance sheet at December 31, (in millions):</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6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6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has net operating losses (“NOLs”) of approximately $1.2 billion, which comprise of $150 million in the U.S. and $1.0 billion outside of the U.S. Approximately $794 million of these NOLs do not expire and approximately $395 million expire between 2025 and 2044. At December 31, 2024, the Company has approximately $1.7 billion of post-apportioned state NOLs of which $782 million do not expire and $964 million expire between 2025 and 2044.</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U.S. foreign tax credits of $16 million which expire between 2028 and 2033. The Company has approximately $139 million of U.S. capital loss carryforwards of which approximately $84 million were generated at December 31, 2020, $42 million were generated at December 31, 2021 and $13 million were generated at December 31, 2024. These U.S. capital loss carryforwards can be carried back three years and carried forward five years. The Company has approximately $192 million of post-apportioned state capital loss carryforwards of which $27 million was generated at December 31, 2018, $148 million was generated at December 31, 2020, $13 million was generated at December 31, 2021 and $4 million was generated at December 31, 2022. Of these post-apportioned state capital loss carryforwards, $134 million can be carried back three years and carried forward five years, and $58 million can be carried forward five years.</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 noncurrent income tax receivable of $311 million and $290 million as of December 31, 2024 and 2023, respectively. In 2024, the Company paid $25 million of tax for the one-time toll charge incurred in 2017 related to the Tax Credits and Jobs Act as the Internal Revenue Service (“IRS”) has not yet processed the amended 2017 tax return, which the Company filed during the year ended December 31, 2022. The 2017 U.S. federal income tax return was amended to carry back foreign tax credits generated in 2018 and capital losses generated in 2018 and 2020.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routinely reviews valuation allowances recorded against deferred tax assets on a more likely than not basis as to whether the Company will realize the deferred tax assets. In making such a determination, the Company takes into consideration all available and appropriate positive and negative evidence, including projected future taxable income, future reversals of existing taxable temporary differences, the ability to carryback net operating losses, and available tax planning strategies. Although realization is not assured, based on this existing evidence, the Company believes it is more likely than not that the Company will realize the benefit of existing deferred tax assets, net of the valuation allowances.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the Company has a valuation allowance recorded against certain deferred tax assets, primarily state and foreign NOLs, foreign capital losses and U.S. foreign tax credits, which the Company believes do not meet the more likely than not threshold to be realized due to uncertainty of future taxable income within the applicable tax jurisdictions. A valuation allowance of $171 million and $184 million was recorded against certain deferred tax asset balances at December 31, 2024 and 2023, respectively. For 2024, the Company recorded a net valuation allowance decrease of $13 million, primarily related to the utilization of NOLs in Argentina due to improved ongoing operations, the write-off of NOLs, capital losses and corresponding valuation allowances due to liquidation of various subsidiaries in Canada, Luxembourg and Hong Kong, netted with recording additional valuation allowances due to excess interest expense in Luxembourg, as well as other miscellaneous changes in the U.S., state and non-U.S. valuation allowances related to ongoing operations. For 2023, the Company recorded a net valuation allowance increase of $36 million, primarily related to NOLs in Switzerland, Luxembourg and Argentina and capital losses in Hong Kong, netted with a write-off of NOLs and the related valuation allowance resulting from the liquidation of various subsidiaries in Luxembourg, Netherlands and China, as well as other miscellaneous changes in the U.S., state and non-U.S. valuation allowances related to ongoing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gross unrecognized tax benefits periods indicated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January 1,</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Increases (decreases):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tax positions for the current period</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benefits, December 31,</w:t>
            </w: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r>
      <w:tr>
        <w:trPr>
          <w:trHeight w:val="27"/>
        </w:trPr>
        <w:tc>
          <w:tcPr>
            <w:tcW w:w="7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7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recognized, $316 million, $387 million and $412 million of unrecognized tax benefits at December 31, 2024, 2023 and 2022, respectively, would affect the effective tax rate. The Company recognizes interest and penalties, if any, related to unrecognized tax benefits as a component of income tax expense. During 2024, the Company recognized an income tax benefit on interest and penalties of $12 million, due to the effective settlement of various tax positions under examination by the IRS further described hereafter, and offset by the accrual of current year interest on existing positions. During 2023 and 2022, the Company recognized income tax expense on interest and penalties of $9 million and $5 million, respectively, due to the accrual of current year interest on existing positions offset by the resolution of certain tax contingencies.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anticipate any material unrecognized tax benefits will reverse within the next 12 months. It is reasonably possible due to statutes of limitation expiration, as well as activities of various worldwide taxing authorities, including proposed assessments of additional tax and possible settlement of audit issues, that additional changes to the Company’s unrecognized tax benefits could occur. In the normal course of business, the Company is subject to audits by worldwide taxing authorities regarding various tax liabilities. The Company’s U.S. federal income tax returns for 2017 to 2020, as well as certain state and non-U.S. income tax returns for various years, are under examination.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14, 2024, the Company received a Statutory Notice of Deficiency (“Notice”) from the IRS for the tax years 2011 to 2015. The Company agreed to certain adjustments raised by the IRS in the Notice. Accordingly, the Company has concluded that various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income tax positions taken by the Company have been effectively settled, with the exception of the matter the Company intends to dispute as further described hereafter.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19, 2024, the Company filed a petition in the U.S. Tax Court disputing the proposed assessment of $80 million in additional taxes plus $34 million in penalties plus the additional interest calculated upon final settlement related to the transfer pricing of services performed by certain of the Company’s foreign affiliates for the tax years 2011 to 2015. The Company believes that adequate amounts have been reserved for any adjustments that may ultimately result. If the IRS prevails in the assessment of additional tax, interest and penalties in excess of the Company’s current reserves, such outcome could have a material adverse effect on the Company’s financial position and results.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numerous consolidated and separate income tax returns in the U.S. federal jurisdiction and various state and foreign jurisdictions. The statute of limitations for the Company’s U.S. federal income tax returns has expired for years prior to 2011 and for 2016. With few exceptions, the Company is no longer subject to other income tax examinations for years before 2016.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13 — 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a right of use (“ROU”) asset and a liability for all leases whose term is more than 12 months at the lease inception date. ROU assets and lease liabilities are recognized at commencement date based on the present value of lease payments over the lease term, which includes any extension the Company reasonably expects to exercise. The Company assesses whether certain service arrangements contain embedded leases where the contract conveys the right to use an asset but is not explicitly identified as a lease arrangement; examples include information technology, third-party logistics and original equipment manufacturers. The Company uses incremental borrowing rates, updated quarterly, that reflect its own external unsecured borrowing rates that are risk-adjusted to approximate secured borrowing rates over similar terms.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certain non-real estate leases, the portfolio approach is used. The Company also has lease agreements with lease and non-lease components, which are accounted for as a single lease component.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Operating lease assets and operating lease liabilities are reported as separate lines in the Consolidated Balance Sheets. The current portion of operating lease liabilities is reported in other accrued liabilities in the Consolidated Balance Sheets.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finance leases, lease payments are allocated between interest expense and reduction of the liability in accordance with an amortization schedule. The corresponding asset is amortized on a straight-line basis over the lease term. Assets acquired under finance leases are reported in property, plant and equipment, net in the Consolidated Balance Sheets. The Company did not have finance leases at December 31, 2024 and 2023.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depreciable life of leasehold improvements and other lease-related assets are limited by the expected lease term, unless there is a transfer of title or purchase option reasonably certain of exercise.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for leases at December 31, is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20" w:type="dxa"/>
            <w:vAlign w:val="bottom"/>
          </w:tcPr>
          <w:p>
            <w:pPr>
              <w:spacing w:after="0"/>
              <w:rPr>
                <w:sz w:val="23"/>
                <w:szCs w:val="23"/>
                <w:color w:val="auto"/>
              </w:rPr>
            </w:pPr>
          </w:p>
        </w:tc>
        <w:tc>
          <w:tcPr>
            <w:tcW w:w="48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4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372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6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6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r>
      <w:tr>
        <w:trPr>
          <w:trHeight w:val="20"/>
        </w:trPr>
        <w:tc>
          <w:tcPr>
            <w:tcW w:w="37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June 2024, as part of optimizing the Company’s real estate footprint, the Company entered into a lease agreement for a new location of its corporate headquarters in Atlanta, Georgia. Upon control of the leased premises, the Company recorded the lease liability and right of use asset with an initial lease term of 14.5 years. See </w:t>
      </w:r>
      <w:r>
        <w:rPr>
          <w:rFonts w:ascii="Times New Roman" w:cs="Times New Roman" w:eastAsia="Times New Roman" w:hAnsi="Times New Roman"/>
          <w:sz w:val="18"/>
          <w:szCs w:val="18"/>
          <w:i w:val="1"/>
          <w:iCs w:val="1"/>
          <w:color w:val="auto"/>
        </w:rPr>
        <w:t>Footnote 4</w:t>
      </w:r>
      <w:r>
        <w:rPr>
          <w:rFonts w:ascii="Times New Roman" w:cs="Times New Roman" w:eastAsia="Times New Roman" w:hAnsi="Times New Roman"/>
          <w:sz w:val="18"/>
          <w:szCs w:val="18"/>
          <w:color w:val="auto"/>
        </w:rPr>
        <w:t xml:space="preserve"> for further information.</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Components of lease expense for the years ended December 31, are as follows (in millions):</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7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costs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315" w:lineRule="exact"/>
        <w:rPr>
          <w:sz w:val="20"/>
          <w:szCs w:val="20"/>
          <w:color w:val="auto"/>
        </w:rPr>
      </w:pPr>
    </w:p>
    <w:p>
      <w:pPr>
        <w:ind w:left="640" w:hanging="22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17" w:lineRule="exact"/>
        <w:rPr>
          <w:rFonts w:ascii="Times New Roman" w:cs="Times New Roman" w:eastAsia="Times New Roman" w:hAnsi="Times New Roman"/>
          <w:sz w:val="14"/>
          <w:szCs w:val="14"/>
          <w:color w:val="auto"/>
        </w:rPr>
      </w:pPr>
    </w:p>
    <w:p>
      <w:pPr>
        <w:ind w:left="660" w:right="100" w:hanging="247"/>
        <w:spacing w:after="0" w:line="259" w:lineRule="auto"/>
        <w:tabs>
          <w:tab w:leader="none" w:pos="6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additional payments for non-lease components, such as maintenance costs, payments of taxes and additional rent based on a level of the Company’s retail store sales.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lease term and discount rates for operating leases at December 31,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315"/>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center"/>
              <w:ind w:right="315"/>
              <w:spacing w:after="0"/>
              <w:rPr>
                <w:sz w:val="20"/>
                <w:szCs w:val="20"/>
                <w:color w:val="auto"/>
              </w:rPr>
            </w:pPr>
            <w:r>
              <w:rPr>
                <w:rFonts w:ascii="Times New Roman" w:cs="Times New Roman" w:eastAsia="Times New Roman" w:hAnsi="Times New Roman"/>
                <w:sz w:val="18"/>
                <w:szCs w:val="18"/>
                <w:color w:val="auto"/>
                <w:w w:val="95"/>
              </w:rPr>
              <w:t>5.1%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are as follows (in millions):</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9"/>
                <w:szCs w:val="19"/>
                <w:color w:val="auto"/>
              </w:rPr>
            </w:pPr>
          </w:p>
        </w:tc>
        <w:tc>
          <w:tcPr>
            <w:tcW w:w="38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2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Right of use assets obtained in exchange for lease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at December 31, 2024, are as follows (in millions):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2025</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7"/>
              </w:rPr>
              <w:t>(118)</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8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Footnote 14 — Weighted Average Shares Outstanding</w:t>
            </w: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2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computations of the weighted average shares outstanding for the years ended December 31, are as follows (in millions):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22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Dilutive securities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414.1</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80" w:type="dxa"/>
            <w:vAlign w:val="bottom"/>
            <w:tcBorders>
              <w:top w:val="single" w:sz="8" w:color="auto"/>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 For 2024 and 2023, 3.4 million and 1.5 million, respectively, potentially dilutive share-based awards were excluded as their effect would be anti-dilutive.</w:t>
      </w: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2023 and 2022, there were 0.7 million, 0.8 million and 0.1 million, respectively, potentially dilutive restricted stock awards with performance-based targets that were not met and as such, have been excluded from the computation of diluted earnings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2024, 2023 and 2022 dividends and equivalents for share-based awards expected to be forfeited did not have a material impact on net income for basic and diluted earnings per share.</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6, 2022, the Company’s Board of Directors authorized a $375 million Share Repurchase Program (“SRP”), which expired on December 31, 2022. Under the SRP, the Company was able to purchase its common shares in the open market, in negotiated transactions or in other manners, as permitted by federal securities laws and other legal requirements. On February 25, 2022, the Company repurchased $275 million of its shares of common stock beneficially owned by Carl C. Icahn and certain of his affiliates, at a purchase price of $25.86 per share, the closing price of the Company’s common shares on February 18, 2022. In April 2022, the Company repurchased approximately $50 million of its shares of common stock at an average purchase price of $22.01 per share. No further repurchases were made prior to the expiration of the SRP.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15 — Share-Based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adjusted for estimated forfeitures and is recognized on a straight-line basis over the requisite service period of the award, which is generally three years for stock options and one to three years for time-based and performance-based restricted stock units. The Company estimates future forfeiture rates based on its historical experience.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maintains a 2013 Incentive Plan and a 2022 Incentive Plan (collectively, the “Incentive Plans”), which allow for grants of stock-based awards. At December 31, 2024, there were approximately 23 million share-based awards collectively available for grant under the Incentive Plans. The 2013 Incentive Plan generally provides for stock-based awards to employees to vest over a minimum of three years, although some awards may vest earlier if granted to a new employee or if tied to the achievement of specified market or performance conditions, in which case such awards vest no earlier than one year from the date of grant. The 2022 Incentive Plan generally provides for stock-based awards to employees to vest no earlier than one year from the date of grant, subject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The stock-based awards granted to employees include stock options and time-based and performance-based restricted stock units,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did not award stock options. In years in which the Company has elected to grant stock options, it has issued them at exercise prices equal to the Company’s common stock price on the date of grant with contractual terms of ten years. Stock options issued by the Company generally vest and are expensed ratably over three years. Stock option grants are generally subject to forfeiture if employment terminates prior to vesting, except upon retirement, death or disability, in which case the options may remain outstanding and exercisable for a specified period not to exceed the remaining contractual term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number of shares of common stock for 2024 (shares and aggregate intrinsic value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60" w:type="dxa"/>
            <w:vAlign w:val="bottom"/>
          </w:tcPr>
          <w:p>
            <w:pPr>
              <w:spacing w:after="0"/>
              <w:rPr>
                <w:sz w:val="15"/>
                <w:szCs w:val="15"/>
                <w:color w:val="auto"/>
              </w:rPr>
            </w:pPr>
          </w:p>
        </w:tc>
      </w:tr>
      <w:tr>
        <w:trPr>
          <w:trHeight w:val="162"/>
        </w:trPr>
        <w:tc>
          <w:tcPr>
            <w:tcW w:w="5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84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5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10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89"/>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8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6.1</w:t>
            </w:r>
          </w:p>
        </w:tc>
        <w:tc>
          <w:tcPr>
            <w:tcW w:w="10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5.8</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3"/>
        </w:trPr>
        <w:tc>
          <w:tcPr>
            <w:tcW w:w="5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end of year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108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and Performance-Based Restricted Stock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Time-based restricted stock unit awards (“Time-Based RSUs”) represent the right to receive unrestricted shares of stock based on continued employment and are generally subject to forfeiture if employment terminates prior to the vesting date, except a termination for death, disability or retirement. Time-Based RSU awards to employees primarily vest over a one to three-year period. In the case of retirement (as defined in the award agreement), Time-Based RSUs generally vest in part.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Time-Based RSUs have dividend equivalents credited to the recipient that are paid only to the extent the applicable service criteria is met, the Time-Based RSUs vest and the related stock is issued.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Performance-based restricted stock unit awards (“Performance-Based RSUs”) represent the right to receive unrestricted shares of stock based on continuous employment plus the achievement of Company performance objectives and/or individual performance</w:t>
      </w:r>
    </w:p>
    <w:p>
      <w:pPr>
        <w:sectPr>
          <w:pgSz w:w="11900" w:h="16838" w:orient="portrait"/>
          <w:cols w:equalWidth="0" w:num="1">
            <w:col w:w="11240"/>
          </w:cols>
          <w:pgMar w:left="320" w:top="848"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goals established by the Compensation and Human Capital Committee of the Board of Directors. Such awards are generally subject to forfeiture if employment terminates prior to vesting, except a termination for death, disability or retirement. In the case of retirement (as defined in the award agreement), Performance-Based RSUs vest in whole or part depending on the employee’s age and years of service, subject to the satisfaction of the applicable performance criteria.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Performance-Based RSUs generally entitle recipients to shares of common stock if performance objectives are achieved, and typically vest no earlier than one year from the date of grant and no later than three years from the date of grant. The actual number of shares that will ultimately be earned is dependent on the level of achievement of the specified performance conditions. For restricted stock units with performance conditions that are based on stock price (“Stock-Price Based RSUs”), the grant date fair value of certain Stock-Price based RSUs is estimated using a Monte Carlo simulation, with the primary input into such valuation being the expected future volatility of the Company’s common stock, and if applicable, the volatilities of the common stocks of the companies in the Company’s peer group, upon which the relative total shareholder return performance is measured. Performance-Based RSUs have dividend equivalents credited to the recipient that are paid only to the extent the applicable service and performance criteria are met, the Performance-Based RSUs vest and the related stock is issued.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pursuant to relevant authoritative guidance, which requires measurement of compensation cost for all stock awards at fair value on the date of grant and recognition of compensation, net of estimated forfeitures, over the longer of the derived service period or explicit requisite service period for awards expected to vest. For non- stock-price based Performance-Based RSUs, the Company assesses the probability of achievement of the performance conditions each period and records expense for the awards based on the probable achievement of such metrics.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number of outstanding restricted stock units for 2024 (shares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6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6"/>
        </w:trPr>
        <w:tc>
          <w:tcPr>
            <w:tcW w:w="86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4"/>
        </w:trPr>
        <w:tc>
          <w:tcPr>
            <w:tcW w:w="86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Grant adjustment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312"/>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to vest as of December 31, 2024 </w:t>
            </w:r>
            <w:r>
              <w:rPr>
                <w:rFonts w:ascii="Times New Roman" w:cs="Times New Roman" w:eastAsia="Times New Roman" w:hAnsi="Times New Roman"/>
                <w:sz w:val="23"/>
                <w:szCs w:val="23"/>
                <w:color w:val="auto"/>
                <w:vertAlign w:val="superscript"/>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30" w:lineRule="exact"/>
        <w:rPr>
          <w:sz w:val="20"/>
          <w:szCs w:val="20"/>
          <w:color w:val="auto"/>
        </w:rPr>
      </w:pPr>
    </w:p>
    <w:p>
      <w:pPr>
        <w:ind w:left="340" w:right="2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adjustment primarily relates to an adjustment in the quantity of Performance-Based RSUs ultimately vested during 2024 that were dependent on the level of achievement of the specified performance conditions.</w:t>
      </w:r>
    </w:p>
    <w:p>
      <w:pPr>
        <w:ind w:left="340" w:hanging="332"/>
        <w:spacing w:after="0" w:line="283"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difference between the outstanding restricted stock units at December 31, 2024 and the restricted stock units expected to vest as of December 31, 2024 primarily relates to the expected achievement of the specified performance conditions for the respective outstanding Performance-Based RSUs.</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values of awards granted were $8, $11 and $26 per share in 2024, 2023 and 2022, respectively. The fair values of awards that vested were $20 million, $13 million and $39 million in 2024, 2023 and 2022,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 awarded 5.9 million Time-Based RSUs, which had an aggregate grant date fair value of $45 million. These Time-Based RSUs entitle recipients to shares of the Company’s common stock and vest primarily in annual installments over a three-year period, subject to continued employment.</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2024, the Company also awarded 1.7 million Performance-Based RSUs with an aggregate grant date fair value of $13 million. These Performance-Based RSUs entitle the recipients to shares of the Company’s common stock and vest primarily at the end of a three-year period, subject to continued employment. The actual number of shares that will ultimately be paid upon vesting is dependent on the level of achievement of the specified performance conditions.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19, 2023, the Company adopted the 2023 Special Incentive Program (the “SIP”) to incentivize performance against multi-year goals and to aid in the retention of certain Company executives. On July 5, 2023, pursuant to the SIP, the Company granted performance-based restricted stock unit awards to the Company’s President and Chief Executive Officer (“CEO”) and the Company’s Chief Financial Officer (“CFO”) that vest on February 28, 2026, subject to the achievement of the applicable performance measures. On the same date, the Company granted time-based and performance-based restricted stock unit awards to certain key executives, other than the CEO and CFO, pursuant to the SIP. The time-based restricted stock units granted to such other</w:t>
      </w:r>
    </w:p>
    <w:p>
      <w:pPr>
        <w:sectPr>
          <w:pgSz w:w="11900" w:h="16838" w:orient="portrait"/>
          <w:cols w:equalWidth="0" w:num="1">
            <w:col w:w="11240"/>
          </w:cols>
          <w:pgMar w:left="320" w:top="850"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executives pursuant to the SIP will fully vest on the one-year anniversary of the date of grant, while the performance-based restricted stock units granted to such other executives pursuant to the SIP will vest 70% on the two-year anniversary of the grant date and 30% on the three-year anniversary of the grant date, subject to the achievement of applicable performance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stock-based compensation at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360" w:type="dxa"/>
            <w:vAlign w:val="bottom"/>
          </w:tcPr>
          <w:p>
            <w:pPr>
              <w:jc w:val="cente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Period of Expense</w:t>
            </w:r>
          </w:p>
        </w:tc>
        <w:tc>
          <w:tcPr>
            <w:tcW w:w="0" w:type="dxa"/>
            <w:vAlign w:val="bottom"/>
          </w:tcPr>
          <w:p>
            <w:pPr>
              <w:spacing w:after="0"/>
              <w:rPr>
                <w:sz w:val="1"/>
                <w:szCs w:val="1"/>
                <w:color w:val="auto"/>
              </w:rPr>
            </w:pPr>
          </w:p>
        </w:tc>
      </w:tr>
      <w:tr>
        <w:trPr>
          <w:trHeight w:val="148"/>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203"/>
        </w:trPr>
        <w:tc>
          <w:tcPr>
            <w:tcW w:w="860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3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Borders>
              <w:bottom w:val="single" w:sz="8" w:color="CCEEFF"/>
            </w:tcBorders>
          </w:tcPr>
          <w:p>
            <w:pPr>
              <w:jc w:val="center"/>
              <w:ind w:lef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360" w:type="dxa"/>
            <w:vAlign w:val="bottom"/>
            <w:tcBorders>
              <w:bottom w:val="single" w:sz="8" w:color="CCEEFF"/>
            </w:tcBorders>
            <w:shd w:val="clear" w:color="auto" w:fill="CCEEFF"/>
          </w:tcPr>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tax detriments related to stock-based compensation was $5 million for 2024, $2 million for 2023 and benefit of $2 million for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16 — Fair Value Disclosures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principles generally accepted in the U.S. define fair value as the price that would be received to sell an asset or transfer a liability in an orderly transaction between market participants. As such, fair value is a market-based measurement that is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 As the basis for evaluating such inputs, a three-tier value hierarchy prioritizes the inputs used in measuring fair value as follows: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adjusted to fair value at least annually are its money market fund investments included in cash and cash equivalents, its mutual fund investments included in other assets, and its derivative instruments, which are primarily included in prepaid expenses and other current assets, other assets, other accrued liabilities and other noncurrent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non-pension financial assets and liabilities, which are measured at fair value on a recurring basis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2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center"/>
              <w:ind w:left="237"/>
              <w:spacing w:after="0"/>
              <w:rPr>
                <w:sz w:val="20"/>
                <w:szCs w:val="20"/>
                <w:color w:val="auto"/>
              </w:rPr>
            </w:pPr>
            <w:r>
              <w:rPr>
                <w:rFonts w:ascii="Times New Roman" w:cs="Times New Roman" w:eastAsia="Times New Roman" w:hAnsi="Times New Roman"/>
                <w:sz w:val="18"/>
                <w:szCs w:val="18"/>
                <w:color w:val="auto"/>
                <w:w w:val="99"/>
              </w:rPr>
              <w:t>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30"/>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including mutual funds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left="117"/>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bl>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publicly-traded investment securities, including mutual funds, fair value is determined on the basis of quoted market prices and, accordingly, such investments are classified as Level 1. Other investment securities are primarily comprised of money market accounts that are classified as Level 2. The Company determines the fair value of its derivative instruments using standard pricing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models and market-based assumptions for all significant inputs, such as yield curves and quoted spot and forward exchange rates. Accordingly, the Company’s derivative instruments are classified as Level 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the Company acquired an equity investment in a publicly traded Asian writing business, which is traded on an active exchange and therefore has a readily determinable fair value. During the third quarter of 2024, the Company sold all its equity interest in the open market for proceeds of approximately $11 million and recorded a loss of approximately $2 million within other (income) expense, net in the Consolidated Statement of Operations for the twelve months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adjusts its pension asset values to fair value on an annual basis (See </w:t>
      </w:r>
      <w:r>
        <w:rPr>
          <w:rFonts w:ascii="Times New Roman" w:cs="Times New Roman" w:eastAsia="Times New Roman" w:hAnsi="Times New Roman"/>
          <w:sz w:val="18"/>
          <w:szCs w:val="18"/>
          <w:i w:val="1"/>
          <w:iCs w:val="1"/>
          <w:color w:val="auto"/>
        </w:rPr>
        <w:t>Footnote 11</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instruments include cash and cash equivalents, accounts receivable, accounts payable, derivative instruments, notes payable and short and long-term debt. The carrying values for current financial assets and liabilities, including cash and cash equivalents, accounts receivable, accounts payable and short-term debt approximate fair value due to the short maturity of such instruments. The fair values of the Company’s debt and derivative instruments are disclosed in </w:t>
      </w:r>
      <w:r>
        <w:rPr>
          <w:rFonts w:ascii="Times New Roman" w:cs="Times New Roman" w:eastAsia="Times New Roman" w:hAnsi="Times New Roman"/>
          <w:sz w:val="18"/>
          <w:szCs w:val="18"/>
          <w:i w:val="1"/>
          <w:iCs w:val="1"/>
          <w:color w:val="auto"/>
        </w:rPr>
        <w:t>Footnote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Footnote 10</w:t>
      </w:r>
      <w:r>
        <w:rPr>
          <w:rFonts w:ascii="Times New Roman" w:cs="Times New Roman" w:eastAsia="Times New Roman" w:hAnsi="Times New Roman"/>
          <w:sz w:val="18"/>
          <w:szCs w:val="18"/>
          <w:color w:val="auto"/>
        </w:rPr>
        <w:t>,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which are measured at fair value on a nonrecurring basis include property, plant and equipment, goodwill, intangible assets and certain other assets.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goodwill and indefinite-lived intangibles are fair valued using discounted cash flows. Quantitative goodwill impairment testing requires significant use of judgment and assumptions including the identification of reporting units; the assignment of assets and liabilities to reporting units; and the estimation of future cash flows, business growth rates, terminal values and discount rates. Quantitative testing of indefinite-lived intangibles under established guidelines for impairment also requires significant use of judgment and assumptions, such as the estimation of cash flow projections, terminal values, royalty rates, contributory cross charges, where applicable, and discount rates. Accordingly, these fair value measurements fall in Level 3 of the fair value hierarchy. These assets and certain liabilities are measured at fair value on a nonrecurring basis as part of the Company’s annual impairment testing and as circumstances require.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assets that are measured at fair value on a nonrecurring basis at December 1,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560" w:type="dxa"/>
            <w:vAlign w:val="bottom"/>
            <w:tcBorders>
              <w:bottom w:val="single" w:sz="8" w:color="auto"/>
            </w:tcBorders>
          </w:tcPr>
          <w:p>
            <w:pPr>
              <w:spacing w:after="0"/>
              <w:rPr>
                <w:sz w:val="19"/>
                <w:szCs w:val="19"/>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3"/>
        </w:trPr>
        <w:tc>
          <w:tcPr>
            <w:tcW w:w="69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r>
      <w:tr>
        <w:trPr>
          <w:trHeight w:val="20"/>
        </w:trPr>
        <w:tc>
          <w:tcPr>
            <w:tcW w:w="6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intangible assets of certain reporting units are recorded at fair value based upon the Company’s impairment testing. The most significant unobservable inputs (Level 3) used to estimate the fair values of the Company’s reporting unit goodwill and indefinite-lived intangible assets are discount rates, which range from 7.5% to 9.5% for reporting unit goodwill and 7.5% to 12.0% for indefinite-lived intangible assets.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fourth quarter of 2024, one tradename in the Home and Commercial Solutions segment was measured at a fair value of $216 million. During the fourth quarter of 2023, two tradenames within the Home and Commercial Solutions segment were measured at fair values of $491 million and $53 million. See </w:t>
      </w:r>
      <w:r>
        <w:rPr>
          <w:rFonts w:ascii="Times New Roman" w:cs="Times New Roman" w:eastAsia="Times New Roman" w:hAnsi="Times New Roman"/>
          <w:sz w:val="18"/>
          <w:szCs w:val="18"/>
          <w:i w:val="1"/>
          <w:iCs w:val="1"/>
          <w:color w:val="auto"/>
        </w:rPr>
        <w:t>Footnotes 1 and 7</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circumstances indicate that carrying amounts may not be recoverable through future undiscounted cash flows. If the Company concludes that impairment exists, the carrying amount is reduced to fair value.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Footnote 17 — Segment Information</w:t>
            </w:r>
          </w:p>
        </w:tc>
        <w:tc>
          <w:tcPr>
            <w:tcW w:w="5260" w:type="dxa"/>
            <w:vAlign w:val="bottom"/>
          </w:tcPr>
          <w:p>
            <w:pPr>
              <w:spacing w:after="0"/>
              <w:rPr>
                <w:sz w:val="20"/>
                <w:szCs w:val="20"/>
                <w:color w:val="auto"/>
              </w:rPr>
            </w:pPr>
          </w:p>
        </w:tc>
      </w:tr>
      <w:tr>
        <w:trPr>
          <w:trHeight w:val="459"/>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three primary operating segments are as follows:</w:t>
            </w:r>
          </w:p>
        </w:tc>
        <w:tc>
          <w:tcPr>
            <w:tcW w:w="5260" w:type="dxa"/>
            <w:vAlign w:val="bottom"/>
          </w:tcPr>
          <w:p>
            <w:pPr>
              <w:spacing w:after="0"/>
              <w:rPr>
                <w:sz w:val="24"/>
                <w:szCs w:val="24"/>
                <w:color w:val="auto"/>
              </w:rPr>
            </w:pPr>
          </w:p>
        </w:tc>
      </w:tr>
      <w:tr>
        <w:trPr>
          <w:trHeight w:val="351"/>
        </w:trPr>
        <w:tc>
          <w:tcPr>
            <w:tcW w:w="120" w:type="dxa"/>
            <w:vAlign w:val="bottom"/>
          </w:tcPr>
          <w:p>
            <w:pPr>
              <w:spacing w:after="0"/>
              <w:rPr>
                <w:sz w:val="24"/>
                <w:szCs w:val="24"/>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1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Key Brands</w:t>
            </w:r>
          </w:p>
        </w:tc>
        <w:tc>
          <w:tcPr>
            <w:tcW w:w="52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 of Primary Products</w:t>
            </w:r>
          </w:p>
        </w:tc>
      </w:tr>
      <w:tr>
        <w:trPr>
          <w:trHeight w:val="169"/>
        </w:trPr>
        <w:tc>
          <w:tcPr>
            <w:tcW w:w="120" w:type="dxa"/>
            <w:vAlign w:val="bottom"/>
          </w:tcPr>
          <w:p>
            <w:pPr>
              <w:spacing w:after="0"/>
              <w:rPr>
                <w:sz w:val="14"/>
                <w:szCs w:val="14"/>
                <w:color w:val="auto"/>
              </w:rPr>
            </w:pPr>
          </w:p>
        </w:tc>
        <w:tc>
          <w:tcPr>
            <w:tcW w:w="1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40" w:type="dxa"/>
            <w:vAlign w:val="bottom"/>
            <w:tcBorders>
              <w:top w:val="single" w:sz="8" w:color="CCEEFF"/>
            </w:tcBorders>
            <w:shd w:val="clear" w:color="auto" w:fill="CCEEFF"/>
          </w:tcPr>
          <w:p>
            <w:pPr>
              <w:spacing w:after="0"/>
              <w:rPr>
                <w:sz w:val="14"/>
                <w:szCs w:val="14"/>
                <w:color w:val="auto"/>
              </w:rPr>
            </w:pPr>
          </w:p>
        </w:tc>
        <w:tc>
          <w:tcPr>
            <w:tcW w:w="38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Ball</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Calphalon, Crockpot, FoodSaver, Mapa,</w:t>
            </w:r>
          </w:p>
        </w:tc>
        <w:tc>
          <w:tcPr>
            <w:tcW w:w="24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Commercial cleaning and maintenance solutions; closet and garage</w:t>
            </w:r>
          </w:p>
        </w:tc>
      </w:tr>
      <w:tr>
        <w:trPr>
          <w:trHeight w:val="176"/>
        </w:trPr>
        <w:tc>
          <w:tcPr>
            <w:tcW w:w="120" w:type="dxa"/>
            <w:vAlign w:val="bottom"/>
          </w:tcPr>
          <w:p>
            <w:pPr>
              <w:spacing w:after="0"/>
              <w:rPr>
                <w:sz w:val="15"/>
                <w:szCs w:val="15"/>
                <w:color w:val="auto"/>
              </w:rPr>
            </w:pPr>
          </w:p>
        </w:tc>
        <w:tc>
          <w:tcPr>
            <w:tcW w:w="1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Mr. Coffee, Oster, Rubbermaid, Rubbermaid</w:t>
            </w:r>
          </w:p>
        </w:tc>
        <w:tc>
          <w:tcPr>
            <w:tcW w:w="5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organization;  hygiene  systems  and  material  handling  solutions;</w:t>
            </w:r>
          </w:p>
        </w:tc>
      </w:tr>
      <w:tr>
        <w:trPr>
          <w:trHeight w:val="184"/>
        </w:trPr>
        <w:tc>
          <w:tcPr>
            <w:tcW w:w="120" w:type="dxa"/>
            <w:vAlign w:val="bottom"/>
          </w:tcPr>
          <w:p>
            <w:pPr>
              <w:spacing w:after="0"/>
              <w:rPr>
                <w:sz w:val="16"/>
                <w:szCs w:val="16"/>
                <w:color w:val="auto"/>
              </w:rPr>
            </w:pPr>
          </w:p>
        </w:tc>
        <w:tc>
          <w:tcPr>
            <w:tcW w:w="16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Solutions</w:t>
            </w: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Commercial Products, Sistema, Spontex, Sunbeam,</w:t>
            </w:r>
          </w:p>
        </w:tc>
        <w:tc>
          <w:tcPr>
            <w:tcW w:w="5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household  products,  including  kitchen  appliances;  food  and  home</w:t>
            </w:r>
          </w:p>
        </w:tc>
      </w:tr>
      <w:tr>
        <w:trPr>
          <w:trHeight w:val="180"/>
        </w:trPr>
        <w:tc>
          <w:tcPr>
            <w:tcW w:w="120" w:type="dxa"/>
            <w:vAlign w:val="bottom"/>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WoodWick and Yankee Candle</w:t>
            </w:r>
          </w:p>
        </w:tc>
        <w:tc>
          <w:tcPr>
            <w:tcW w:w="5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storage products; fresh preserving products; vacuum sealing products;</w:t>
            </w:r>
          </w:p>
        </w:tc>
      </w:tr>
      <w:tr>
        <w:trPr>
          <w:trHeight w:val="243"/>
        </w:trPr>
        <w:tc>
          <w:tcPr>
            <w:tcW w:w="120" w:type="dxa"/>
            <w:vAlign w:val="bottom"/>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gourmet cookware, bakeware and cutlery and home fragrance products</w:t>
            </w:r>
          </w:p>
        </w:tc>
      </w:tr>
      <w:tr>
        <w:trPr>
          <w:trHeight w:val="175"/>
        </w:trPr>
        <w:tc>
          <w:tcPr>
            <w:tcW w:w="120" w:type="dxa"/>
            <w:vAlign w:val="bottom"/>
          </w:tcPr>
          <w:p>
            <w:pPr>
              <w:spacing w:after="0"/>
              <w:rPr>
                <w:sz w:val="15"/>
                <w:szCs w:val="15"/>
                <w:color w:val="auto"/>
              </w:rPr>
            </w:pPr>
          </w:p>
        </w:tc>
        <w:tc>
          <w:tcPr>
            <w:tcW w:w="1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Learning and</w:t>
            </w: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Dymo, Elmer’s, EXPO, Graco, NUK, Paper Mate,</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Baby gear and infant care products; writing instruments, including</w:t>
            </w:r>
          </w:p>
        </w:tc>
      </w:tr>
      <w:tr>
        <w:trPr>
          <w:trHeight w:val="176"/>
        </w:trPr>
        <w:tc>
          <w:tcPr>
            <w:tcW w:w="120" w:type="dxa"/>
            <w:vAlign w:val="bottom"/>
          </w:tcPr>
          <w:p>
            <w:pPr>
              <w:spacing w:after="0"/>
              <w:rPr>
                <w:sz w:val="15"/>
                <w:szCs w:val="15"/>
                <w:color w:val="auto"/>
              </w:rPr>
            </w:pPr>
          </w:p>
        </w:tc>
        <w:tc>
          <w:tcPr>
            <w:tcW w:w="1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Parker and Sharpie</w:t>
            </w:r>
          </w:p>
        </w:tc>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markers and highlighters, pens and pencils; art products; activity-based</w:t>
            </w:r>
          </w:p>
        </w:tc>
      </w:tr>
      <w:tr>
        <w:trPr>
          <w:trHeight w:val="239"/>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and labeling solutions</w:t>
            </w:r>
          </w:p>
        </w:tc>
      </w:tr>
      <w:tr>
        <w:trPr>
          <w:trHeight w:val="180"/>
        </w:trPr>
        <w:tc>
          <w:tcPr>
            <w:tcW w:w="120" w:type="dxa"/>
            <w:vAlign w:val="bottom"/>
          </w:tcPr>
          <w:p>
            <w:pPr>
              <w:spacing w:after="0"/>
              <w:rPr>
                <w:sz w:val="15"/>
                <w:szCs w:val="15"/>
                <w:color w:val="auto"/>
              </w:rPr>
            </w:pPr>
          </w:p>
        </w:tc>
        <w:tc>
          <w:tcPr>
            <w:tcW w:w="16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Outdoor and</w:t>
            </w:r>
          </w:p>
        </w:tc>
        <w:tc>
          <w:tcPr>
            <w:tcW w:w="41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Campingaz, Coleman, Contigo and Marmot</w:t>
            </w:r>
          </w:p>
        </w:tc>
        <w:tc>
          <w:tcPr>
            <w:tcW w:w="52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Active lifestyle products for outdoor and outdoor-related activities;</w:t>
            </w:r>
          </w:p>
        </w:tc>
      </w:tr>
      <w:tr>
        <w:trPr>
          <w:trHeight w:val="243"/>
        </w:trPr>
        <w:tc>
          <w:tcPr>
            <w:tcW w:w="120" w:type="dxa"/>
            <w:vAlign w:val="bottom"/>
          </w:tcPr>
          <w:p>
            <w:pPr>
              <w:spacing w:after="0"/>
              <w:rPr>
                <w:sz w:val="21"/>
                <w:szCs w:val="21"/>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Recreation</w:t>
            </w:r>
          </w:p>
        </w:tc>
        <w:tc>
          <w:tcPr>
            <w:tcW w:w="3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technical apparel and on-the-go beverageware</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sz w:val="1"/>
          <w:szCs w:val="1"/>
          <w:color w:val="auto"/>
        </w:rPr>
        <w:drawing>
          <wp:inline distT="0" distB="0" distL="0" distR="0">
            <wp:extent cx="248285" cy="171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8285" cy="17145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and Ball®, TM of Ball Corporation, used under license.</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2023, the Company implemented a new operating model intended to drive further simplification and unlock additional efficiencies and synergies within the Company. In connection with the new operating model, the President and Chief Executive Officer of the Company, who is the CODM reviews the businesses as three operating segments: Home and Commercial Solutions, Learning and Development and Outdoor and Recreation. This structure reflects the manner in which the CODM regularly assesses information for decision-making purposes, including the allocation of resources. </w:t>
      </w:r>
      <w:r>
        <w:rPr>
          <w:rFonts w:ascii="Times New Roman" w:cs="Times New Roman" w:eastAsia="Times New Roman" w:hAnsi="Times New Roman"/>
          <w:sz w:val="18"/>
          <w:szCs w:val="18"/>
          <w:color w:val="212529"/>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also provides general corporate services to its segments which is reported as a non-operating segment, Corporate.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The CODM evaluates the segments’ operating performance based on segment operating income, defined as net sales minus cost of products sold, segment SG&amp;A (including </w:t>
      </w:r>
      <w:r>
        <w:rPr>
          <w:rFonts w:ascii="Times New Roman" w:cs="Times New Roman" w:eastAsia="Times New Roman" w:hAnsi="Times New Roman"/>
          <w:sz w:val="18"/>
          <w:szCs w:val="18"/>
          <w:color w:val="000000"/>
        </w:rPr>
        <w:t>share-based compensation at target for operating segment employees)</w:t>
      </w:r>
      <w:r>
        <w:rPr>
          <w:rFonts w:ascii="Times New Roman" w:cs="Times New Roman" w:eastAsia="Times New Roman" w:hAnsi="Times New Roman"/>
          <w:sz w:val="18"/>
          <w:szCs w:val="18"/>
          <w:color w:val="212529"/>
        </w:rPr>
        <w:t xml:space="preserve"> and other segment costs. </w:t>
      </w:r>
      <w:r>
        <w:rPr>
          <w:rFonts w:ascii="Times New Roman" w:cs="Times New Roman" w:eastAsia="Times New Roman" w:hAnsi="Times New Roman"/>
          <w:sz w:val="18"/>
          <w:szCs w:val="18"/>
          <w:color w:val="000000"/>
        </w:rPr>
        <w:t>Segment SG&amp;A includes an allocation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center-led corporate functions including the bonus for such corporate functions based on achieving a 100% of the respective target. However, the allocation of center-led corporate functions does not include share-based compensation related to such functions. Any variability in expense from such targets, favorable or unfavorable, is retained at corporate, which would be reflected as a corporate expense. </w:t>
      </w:r>
      <w:r>
        <w:rPr>
          <w:rFonts w:ascii="Times New Roman" w:cs="Times New Roman" w:eastAsia="Times New Roman" w:hAnsi="Times New Roman"/>
          <w:sz w:val="18"/>
          <w:szCs w:val="18"/>
          <w:color w:val="212529"/>
        </w:rPr>
        <w:t>The CODM considers budget-to-current forecast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prior actuals-to-current forecast variances for segment operating income on a periodic basis for evaluating performance of each segment and making decisions about allocating capital and other resources to each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segment results are as follows (in millions):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4"/>
                <w:szCs w:val="14"/>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Learning and</w:t>
            </w:r>
          </w:p>
        </w:tc>
        <w:tc>
          <w:tcPr>
            <w:tcW w:w="240" w:type="dxa"/>
            <w:vAlign w:val="bottom"/>
          </w:tcPr>
          <w:p>
            <w:pPr>
              <w:spacing w:after="0"/>
              <w:rPr>
                <w:sz w:val="14"/>
                <w:szCs w:val="14"/>
                <w:color w:val="auto"/>
              </w:rPr>
            </w:pPr>
          </w:p>
        </w:tc>
        <w:tc>
          <w:tcPr>
            <w:tcW w:w="13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Outdoor and</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SG&amp;A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costs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4"/>
                <w:szCs w:val="14"/>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Learning and</w:t>
            </w:r>
          </w:p>
        </w:tc>
        <w:tc>
          <w:tcPr>
            <w:tcW w:w="240" w:type="dxa"/>
            <w:vAlign w:val="bottom"/>
          </w:tcPr>
          <w:p>
            <w:pPr>
              <w:spacing w:after="0"/>
              <w:rPr>
                <w:sz w:val="14"/>
                <w:szCs w:val="14"/>
                <w:color w:val="auto"/>
              </w:rPr>
            </w:pPr>
          </w:p>
        </w:tc>
        <w:tc>
          <w:tcPr>
            <w:tcW w:w="13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Outdoor and</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SG&amp;A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costs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4"/>
                <w:szCs w:val="14"/>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Learning and</w:t>
            </w:r>
          </w:p>
        </w:tc>
        <w:tc>
          <w:tcPr>
            <w:tcW w:w="240" w:type="dxa"/>
            <w:vAlign w:val="bottom"/>
          </w:tcPr>
          <w:p>
            <w:pPr>
              <w:spacing w:after="0"/>
              <w:rPr>
                <w:sz w:val="14"/>
                <w:szCs w:val="14"/>
                <w:color w:val="auto"/>
              </w:rPr>
            </w:pPr>
          </w:p>
        </w:tc>
        <w:tc>
          <w:tcPr>
            <w:tcW w:w="13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Outdoor and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Solutions </w:t>
            </w:r>
            <w:r>
              <w:rPr>
                <w:rFonts w:ascii="Times New Roman" w:cs="Times New Roman" w:eastAsia="Times New Roman" w:hAnsi="Times New Roman"/>
                <w:sz w:val="23"/>
                <w:szCs w:val="23"/>
                <w:b w:val="1"/>
                <w:bCs w:val="1"/>
                <w:color w:val="auto"/>
                <w:w w:val="94"/>
                <w:vertAlign w:val="superscript"/>
              </w:rPr>
              <w:t>(3)</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SG&amp;A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costs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intercompany transactions have been eliminated.</w:t>
      </w:r>
    </w:p>
    <w:p>
      <w:pPr>
        <w:spacing w:after="0" w:line="17" w:lineRule="exact"/>
        <w:rPr>
          <w:rFonts w:ascii="Times New Roman" w:cs="Times New Roman" w:eastAsia="Times New Roman" w:hAnsi="Times New Roman"/>
          <w:sz w:val="14"/>
          <w:szCs w:val="14"/>
          <w:color w:val="auto"/>
        </w:rPr>
      </w:pPr>
    </w:p>
    <w:p>
      <w:pPr>
        <w:ind w:left="660" w:right="20" w:hanging="328"/>
        <w:spacing w:after="0" w:line="259"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segment costs primarily include segment restructuring costs, net and non-cash impairment of goodwill, intangibles and other assets (see </w:t>
      </w:r>
      <w:r>
        <w:rPr>
          <w:rFonts w:ascii="Times New Roman" w:cs="Times New Roman" w:eastAsia="Times New Roman" w:hAnsi="Times New Roman"/>
          <w:sz w:val="14"/>
          <w:szCs w:val="14"/>
          <w:i w:val="1"/>
          <w:iCs w:val="1"/>
          <w:color w:val="auto"/>
        </w:rPr>
        <w:t>Footnotes 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7,</w:t>
      </w:r>
      <w:r>
        <w:rPr>
          <w:rFonts w:ascii="Times New Roman" w:cs="Times New Roman" w:eastAsia="Times New Roman" w:hAnsi="Times New Roman"/>
          <w:sz w:val="14"/>
          <w:szCs w:val="14"/>
          <w:color w:val="auto"/>
        </w:rPr>
        <w:t xml:space="preserve"> respectively for further information).</w:t>
      </w:r>
    </w:p>
    <w:p>
      <w:pPr>
        <w:jc w:val="both"/>
        <w:ind w:left="660" w:hanging="328"/>
        <w:spacing w:after="0" w:line="262"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Corporate expenses primarily include costs of operating as a public company including retained costs of center-led corporate functions, corporate restructuring and restructuring-related costs (see </w:t>
      </w:r>
      <w:r>
        <w:rPr>
          <w:rFonts w:ascii="Times New Roman" w:cs="Times New Roman" w:eastAsia="Times New Roman" w:hAnsi="Times New Roman"/>
          <w:sz w:val="14"/>
          <w:szCs w:val="14"/>
          <w:i w:val="1"/>
          <w:iCs w:val="1"/>
          <w:color w:val="auto"/>
        </w:rPr>
        <w:t>Footnote 4</w:t>
      </w:r>
      <w:r>
        <w:rPr>
          <w:rFonts w:ascii="Times New Roman" w:cs="Times New Roman" w:eastAsia="Times New Roman" w:hAnsi="Times New Roman"/>
          <w:sz w:val="14"/>
          <w:szCs w:val="14"/>
          <w:color w:val="auto"/>
        </w:rPr>
        <w:t xml:space="preserve"> for further information) and non-cash impairment of corporate assets. In addition, corporate expense includes adjustments, favorable or unfavorable, between the actual bonus achieved versus the bonus at target for center-led corporate functions, as well as adjustments, favorable or unfavorable, between the actual share-based compensation achieved versus the share-based compensation at target for operating segment employees. Incentive compensation recorded in corporate expenses increased by $85 million in 2024 as compared to 2023 and $93 million in 2023 as compared to 2022, primarily due to improved performance relative to targets under the Company’s Management Bonus Plan and increases in the expected achievements of the specified performance conditions in the Company’s respective outstanding Performance-Based RSUs (see </w:t>
      </w:r>
      <w:r>
        <w:rPr>
          <w:rFonts w:ascii="Times New Roman" w:cs="Times New Roman" w:eastAsia="Times New Roman" w:hAnsi="Times New Roman"/>
          <w:sz w:val="14"/>
          <w:szCs w:val="14"/>
          <w:i w:val="1"/>
          <w:iCs w:val="1"/>
          <w:color w:val="auto"/>
        </w:rPr>
        <w:t>Footnote 15</w:t>
      </w:r>
      <w:r>
        <w:rPr>
          <w:rFonts w:ascii="Times New Roman" w:cs="Times New Roman" w:eastAsia="Times New Roman" w:hAnsi="Times New Roman"/>
          <w:sz w:val="14"/>
          <w:szCs w:val="14"/>
          <w:color w:val="auto"/>
        </w:rPr>
        <w:t xml:space="preserve"> for further information).</w:t>
      </w:r>
    </w:p>
    <w:p>
      <w:pPr>
        <w:spacing w:after="0" w:line="160" w:lineRule="exact"/>
        <w:rPr>
          <w:rFonts w:ascii="Times New Roman" w:cs="Times New Roman" w:eastAsia="Times New Roman" w:hAnsi="Times New Roman"/>
          <w:sz w:val="14"/>
          <w:szCs w:val="14"/>
          <w:color w:val="auto"/>
        </w:rPr>
      </w:pPr>
    </w:p>
    <w:p>
      <w:pPr>
        <w:ind w:left="660" w:hanging="328"/>
        <w:spacing w:after="0" w:line="263"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Home and Commercial Solutions segment includes the results of operations for CH&amp;S business through March 31, 2022, which was subsequently divested (see </w:t>
      </w:r>
      <w:r>
        <w:rPr>
          <w:rFonts w:ascii="Times New Roman" w:cs="Times New Roman" w:eastAsia="Times New Roman" w:hAnsi="Times New Roman"/>
          <w:sz w:val="14"/>
          <w:szCs w:val="14"/>
          <w:i w:val="1"/>
          <w:iCs w:val="1"/>
          <w:color w:val="auto"/>
        </w:rPr>
        <w:t>Footnote 2</w:t>
      </w:r>
      <w:r>
        <w:rPr>
          <w:rFonts w:ascii="Times New Roman" w:cs="Times New Roman" w:eastAsia="Times New Roman" w:hAnsi="Times New Roman"/>
          <w:sz w:val="14"/>
          <w:szCs w:val="14"/>
          <w:color w:val="auto"/>
        </w:rPr>
        <w:t xml:space="preserve"> for further information).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Depreciation and amortization by segment are as follows for the years ended December 31,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60" w:hanging="328"/>
        <w:spacing w:after="0" w:line="282"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depreciation and amortization is allocated to the segments on a percentage of sales basis, and the allocated depreciation and amortization are included in the segment operating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by segment are as follows for the years ended December 31, (in millions):</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8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Assets by segment are as follows at (in millions):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2"/>
                <w:szCs w:val="22"/>
                <w:color w:val="auto"/>
              </w:rPr>
            </w:pPr>
          </w:p>
        </w:tc>
        <w:tc>
          <w:tcPr>
            <w:tcW w:w="17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Learning and Development</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 and Recreation</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geographic net sales </w:t>
      </w:r>
      <w:r>
        <w:rPr>
          <w:rFonts w:ascii="Times New Roman" w:cs="Times New Roman" w:eastAsia="Times New Roman" w:hAnsi="Times New Roman"/>
          <w:sz w:val="23"/>
          <w:szCs w:val="23"/>
          <w:color w:val="auto"/>
          <w:vertAlign w:val="superscript"/>
        </w:rPr>
        <w:t>(1) (2)</w:t>
      </w:r>
      <w:r>
        <w:rPr>
          <w:rFonts w:ascii="Times New Roman" w:cs="Times New Roman" w:eastAsia="Times New Roman" w:hAnsi="Times New Roman"/>
          <w:sz w:val="18"/>
          <w:szCs w:val="18"/>
          <w:color w:val="auto"/>
        </w:rPr>
        <w:t xml:space="preserve"> are as follows for the years ended December 31,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North America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r>
      <w:tr>
        <w:trPr>
          <w:trHeight w:val="223"/>
        </w:trPr>
        <w:tc>
          <w:tcPr>
            <w:tcW w:w="7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9,459</w:t>
            </w:r>
          </w:p>
        </w:tc>
      </w:tr>
      <w:tr>
        <w:trPr>
          <w:trHeight w:val="20"/>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intercompany transactions have been eliminated.</w:t>
      </w:r>
    </w:p>
    <w:p>
      <w:pPr>
        <w:spacing w:after="0" w:line="27" w:lineRule="exact"/>
        <w:rPr>
          <w:rFonts w:ascii="Times New Roman" w:cs="Times New Roman" w:eastAsia="Times New Roman" w:hAnsi="Times New Roman"/>
          <w:sz w:val="14"/>
          <w:szCs w:val="14"/>
          <w:color w:val="auto"/>
        </w:rPr>
      </w:pPr>
    </w:p>
    <w:p>
      <w:pPr>
        <w:ind w:left="660" w:right="20" w:hanging="328"/>
        <w:spacing w:after="0" w:line="263" w:lineRule="auto"/>
        <w:tabs>
          <w:tab w:leader="none" w:pos="65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sales information is based on the region from which the products are shipped and invoiced. Long-lived assets by geography are not presented because it is impracticable to do so.</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largest customer in 2024, Amazon, accounted for approximately 15% of net sales in 2024 and 13% in each of 2023 and 2022. Walmart Inc. and subsidiaries (“Walmart”), the Company’s second largest customer in 2024, accounted for approximately 14%, 15% and 14% of net sales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following table disaggregates net sales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by major product grouping source for the years ended December 31,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9"/>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Kitchen</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29"/>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Home Fragrance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0"/>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Connected Home and Security</w:t>
            </w:r>
          </w:p>
        </w:tc>
        <w:tc>
          <w:tcPr>
            <w:tcW w:w="1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 and Commercial Solutions</w:t>
            </w: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70"/>
        </w:trPr>
        <w:tc>
          <w:tcPr>
            <w:tcW w:w="5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Baby</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9"/>
        </w:trPr>
        <w:tc>
          <w:tcPr>
            <w:tcW w:w="5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Writing</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Learning and Development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70"/>
        </w:trPr>
        <w:tc>
          <w:tcPr>
            <w:tcW w:w="5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Outdoor and Recreation</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70"/>
        </w:trPr>
        <w:tc>
          <w:tcPr>
            <w:tcW w:w="58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48"/>
        </w:trPr>
        <w:tc>
          <w:tcPr>
            <w:tcW w:w="58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7,582</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intercompany transactions have been eliminated.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Geographic net sales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by segment are as follows (in millions):</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8"/>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North America </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20"/>
                <w:szCs w:val="20"/>
                <w:color w:val="auto"/>
              </w:rPr>
            </w:pPr>
          </w:p>
        </w:tc>
        <w:tc>
          <w:tcPr>
            <w:tcW w:w="1720" w:type="dxa"/>
            <w:vAlign w:val="bottom"/>
            <w:gridSpan w:val="2"/>
          </w:tcPr>
          <w:p>
            <w:pPr>
              <w:ind w:left="8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International </w:t>
            </w:r>
            <w:r>
              <w:rPr>
                <w:rFonts w:ascii="Times New Roman" w:cs="Times New Roman" w:eastAsia="Times New Roman" w:hAnsi="Times New Roman"/>
                <w:sz w:val="23"/>
                <w:szCs w:val="23"/>
                <w:b w:val="1"/>
                <w:bCs w:val="1"/>
                <w:color w:val="auto"/>
                <w:vertAlign w:val="superscript"/>
              </w:rPr>
              <w:t>(2)</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r>
      <w:tr>
        <w:trPr>
          <w:trHeight w:val="230"/>
        </w:trPr>
        <w:tc>
          <w:tcPr>
            <w:tcW w:w="57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Learning and Development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9"/>
        </w:trPr>
        <w:tc>
          <w:tcPr>
            <w:tcW w:w="5740" w:type="dxa"/>
            <w:vAlign w:val="bottom"/>
            <w:tcBorders>
              <w:bottom w:val="single" w:sz="8" w:color="CCEEFF"/>
            </w:tcBorders>
          </w:tcPr>
          <w:p>
            <w:pPr>
              <w:ind w:left="960"/>
              <w:spacing w:after="0"/>
              <w:rPr>
                <w:sz w:val="20"/>
                <w:szCs w:val="20"/>
                <w:color w:val="auto"/>
              </w:rPr>
            </w:pPr>
            <w:r>
              <w:rPr>
                <w:rFonts w:ascii="Times New Roman" w:cs="Times New Roman" w:eastAsia="Times New Roman" w:hAnsi="Times New Roman"/>
                <w:sz w:val="18"/>
                <w:szCs w:val="18"/>
                <w:color w:val="auto"/>
              </w:rPr>
              <w:t>Outdoor and Recreation</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48"/>
        </w:trPr>
        <w:tc>
          <w:tcPr>
            <w:tcW w:w="5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30"/>
        </w:trPr>
        <w:tc>
          <w:tcPr>
            <w:tcW w:w="57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Learning and Development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30"/>
        </w:trPr>
        <w:tc>
          <w:tcPr>
            <w:tcW w:w="5740" w:type="dxa"/>
            <w:vAlign w:val="bottom"/>
            <w:tcBorders>
              <w:bottom w:val="single" w:sz="8" w:color="CCEEFF"/>
            </w:tcBorders>
          </w:tcPr>
          <w:p>
            <w:pPr>
              <w:ind w:left="960"/>
              <w:spacing w:after="0"/>
              <w:rPr>
                <w:sz w:val="20"/>
                <w:szCs w:val="20"/>
                <w:color w:val="auto"/>
              </w:rPr>
            </w:pPr>
            <w:r>
              <w:rPr>
                <w:rFonts w:ascii="Times New Roman" w:cs="Times New Roman" w:eastAsia="Times New Roman" w:hAnsi="Times New Roman"/>
                <w:sz w:val="18"/>
                <w:szCs w:val="18"/>
                <w:color w:val="auto"/>
              </w:rPr>
              <w:t>Outdoor and Recreation</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48"/>
        </w:trPr>
        <w:tc>
          <w:tcPr>
            <w:tcW w:w="5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Home and Commercial Solutions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30"/>
        </w:trPr>
        <w:tc>
          <w:tcPr>
            <w:tcW w:w="57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Learning and Development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9"/>
        </w:trPr>
        <w:tc>
          <w:tcPr>
            <w:tcW w:w="5740" w:type="dxa"/>
            <w:vAlign w:val="bottom"/>
            <w:tcBorders>
              <w:bottom w:val="single" w:sz="8" w:color="CCEEFF"/>
            </w:tcBorders>
          </w:tcPr>
          <w:p>
            <w:pPr>
              <w:ind w:left="960"/>
              <w:spacing w:after="0"/>
              <w:rPr>
                <w:sz w:val="20"/>
                <w:szCs w:val="20"/>
                <w:color w:val="auto"/>
              </w:rPr>
            </w:pPr>
            <w:r>
              <w:rPr>
                <w:rFonts w:ascii="Times New Roman" w:cs="Times New Roman" w:eastAsia="Times New Roman" w:hAnsi="Times New Roman"/>
                <w:sz w:val="18"/>
                <w:szCs w:val="18"/>
                <w:color w:val="auto"/>
              </w:rPr>
              <w:t>Outdoor and Recreation</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48"/>
        </w:trPr>
        <w:tc>
          <w:tcPr>
            <w:tcW w:w="5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intercompany transactions have been eliminated.</w:t>
      </w:r>
    </w:p>
    <w:p>
      <w:pPr>
        <w:spacing w:after="0" w:line="2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sales information is based on the region from which the products are shipped and invoiced.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Footnote 18 — Litigation and 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claims and lawsuits in the ordinary course of business, including from time to time, contractual disputes, employment and environmental matters, product and general liability claims, claims that the Company has infringed on the intellectual property rights of others, and consumer and employment class actions. Some of the legal proceedings include claims for punitive as well as compensatory damages. In the ordinary course of business, the Company is also subject to legislative requests, regulatory and governmental examinations, information requests and subpoenas, inquiries, investigations, and threatened legal actions and proceedings. In connection with such formal and informal inquiries, the Company receives numerous requests, subpoenas, and orders for documents, testimony and information in connection with various aspects of its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matters concerning federal and state environmental laws and regulations, including matters in which the Company has been identified by the U.S. Environmental Protection Agency (“U.S. EPA”) and certain state environmental agencies as a potentially responsible party (“PRP”) at contaminated sites under the Comprehensive Environmental Response Compensation and Liability Act (“CERCLA”) and equivalent state laws. In assessing its environmental response costs, the Company has considered several factors, including the extent of the Company’s volumetric contribution at each site relative to that of other PRPs; the kind of waste; the terms of existing cost sharing and other applicable agreements; the financial ability of other PRPs to share in the payment of requisite costs; the Company’s prior experience with similar sites; environmental studies and cost estimates available to the Company; the effects of inflation on cost estimates; and the extent to which the Company’s, and other parties’ status as PRPs is disputed.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estimate of environmental remediation costs associated with these matters at December 31, 2024 was $39 million which is included in other accrued liabilities and other noncurrent liabilities in the Consolidated Balance Sheets. No insurance recovery was taken into account in determining the Company’s cost estimates or reserves, nor do the Company’s cost estimates or reserves reflect any discounting for present value purposes, except with respect to certain long-term operations and maintenance CERCLA matters.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 Passaic River Matter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EPA has issued General Notice Letters to over 100 entities, including the Company and its subsidiary, Berol Corporation (together, the “Company Parties”), alleging that they are PRPs at the Diamond Alkali Superfund Site (the “Site”) pursuant to CERCLA. The Site is the subject of investigation and remedial activities and related settlement negotiations with the U.S. EPA. The Site is divided into four “operable units,” and the Company Parties have received General Notice Letters in connection with operable Unit 2, which comprises the lower 8.3 miles of the Lower Passaic River and its tributaries (“Unit 2”), and operable Unit 4, which comprises a 17-mile stretch of the Lower Passaic River and its tributaries (“Unit 4”). Unit 2 is geographically subsumed within Unit 4. In October 2021, the U.S. EPA issued a Record of Decision for an interim remedy for the upper 9 miles of Unit 4, selecting a combination of dredging and capping as the remedial alternative, which the U.S. EPA estimates will cost $441 million in the aggregate. The U.S. EPA also performed a Source Control Early Action Focused Feasibility Study for Unit 2, which culminated in a Record of Decision in 2016. The U.S. EPA estimates that the selected remedy for Unit 2 set forth in its Record of Decision will cost $1.4 billion in the aggregate.</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2017, the U.S. EPA announced an allocation process involving roughly 80 Unit 2 General Notice Letter recipients, with the intent of offering cash-out settlements to a number of parties. The allocation process has concluded, and the Company Parties were placed in the lowest tier of relative responsibility among allocation parties. On December 16, 2022, the U.S. EPA simultaneously filed a complaint and lodged a consent decree to resolve the liability of the Company Parties and other settlement parties for past and future CERCLA response costs at Unit 2 and Unit 4. On January 17, 2024, following review of public comments, the U.S. EPA filed an amended complaint and lodged a modified consent decree. U.S. EPA filed a motion to enter the modified consent decree (“Consent Decree”) on January 31, 2024, which the court granted on December 18, 2024. The Court’s Order entering the Consent Decree has been appealed. As of the date of this filing, the Company does not expect that its share of payments toward the Consent Decree, if the Consent Decree is upheld following any appellate review, will be material to the Company.</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Occidental Chemical Corporation (“OCC”) sued over 100 parties, including the Company Parties, in the U.S. District Court in New Jersey pursuant to CERCLA, requesting cost recovery, contribution, and a declaratory judgement. The defendants, in turn, filed claims against 42 third-party defendants, and filed counterclaims against OCC (collectively, the “OCC Litigation”). The primary focus of the OCC Litigation has been certain past and future costs for investigation, design and remediation of Units 2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0" w:name="page91"/>
    <w:bookmarkEnd w:id="90"/>
    <w:p>
      <w:pPr>
        <w:jc w:val="both"/>
        <w:ind w:firstLine="8"/>
        <w:spacing w:after="0" w:line="258" w:lineRule="auto"/>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OCC has stated that it anticipates asserting claims against defendants regarding Newark Bay, which is also part of the Site, after the U.S. EPA has selected the Newark Bay remedy. OCC has also stated that it may broaden its claims in the future after completion of the Natural Resource Damage Assessment described below. In March 2023, the Court granted an unopposed motion to stay the OCC Litigation. On January 5, 2024, the Court granted a motion to extend the stay pending the Court’s adjudication of the then anticipated motion to enter the amended Consent Decree. At this time, the Company cannot predict the eventual outcome of the OCC Litigation.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2007, the National Oceanic and Atmospheric Administration (“NOAA”), acting as the lead administrative trustee on behalf of itself and the U.S. Department of the Interior, issued a Notice of Intent to Perform a Natural Resource Damage Assessment to the Company Parties, along with numerous other entities, identifying the recipients as PRPs. The federal trustees (who now include the United States Department of Commerce, represented by NOAA, and the Department of the Interior, represented by the United States Fish and Wildlife Service) are presently undertaking the Natural Resource Damage Assessment with respect to the Site.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currently known facts and circumstances, the Company does not believe that the Lower Passaic River matter is reasonably likely to have a material impact on the Company’s results of operations. However, in the event of one or more adverse determinations related to this matter, including the OCC Litigation and Natural Resource Damage Assessment noted above (for which the Company cannot currently estimate the range of possible losses), it is possible that the ultimate liability resulting from this matter and the impact on the Company’s results of operations could be material.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and as part of its acquisition and divestiture strategy, the Company may provide certain representations and indemnifications related to legal, environmental, product liability, tax or other types of issues. Based on the nature of these representations and indemnifications, it is not possible to predict the maximum potential payments under all of these agreements due to the conditional nature of the Company’s obligations and the unique facts and circumstances involved in each particular agreement. Historically, payments made by the Company under these agreements did not have a material effect on the Company’s business, financial condition or results of operations.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2018 sale of The Waddington Group, Novolex Holdings, Inc. (the “Buyer”) filed suit against the Company in October 2019 in the Superior Court of Delaware. The Buyer generally alleged that the Company fraudulently breached certain representations in the Equity Purchase Agreement between the Company and Buyer, dated May 2, 2018, resulting in an inflated purchase price for The Waddington Group. In the year ended December 31, 2022, the Company recorded an immaterial reserve in its Consolidated Financial Statements based on its best estimate of probable loss associated with this matter. In the fourth quarter of 2024, the Buyer and the Company entered into a settlement agreement resolving the dispute, and the lawsuit was dismissed with prejudice.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Company’s sale of The United States Playing Card Company (“USPC”), Cartamundi, Inc. and Cartamundi España, S.L., (the “Buyers”) have notified the Company of their contention that certain representations and warranties in the Stock Purchase Agreement, dated June 4, 2019, were inaccurate and/or breached, and have sought indemnification to the extent that the Buyers are required to pay related damages arising out of a third party lawsuit that was recently filed against USPC.</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recorded an immaterial reserve based on the outcome of a judicial ruling relating to indirect taxes in an international entity. During the first quarter of 2024, the Company paid the estimated liability to the relevant taxing authorities. Although the Company cannot predict the ultimate outcome of this contingency with certainty, it believes that any additional amounts it may be required to pay will not have a material effect on the Company’s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Although the Company cannot predict the ultimate outcome of other proceedings with certainty, it believes that the ultimate resolution of the Company’s proceedings, including any amounts it may be required to pay in excess of amounts reserved, will not have a material effect on the Company’s Consolidated Financial Statements, except as otherwise described in this </w:t>
      </w:r>
      <w:r>
        <w:rPr>
          <w:rFonts w:ascii="Times New Roman" w:cs="Times New Roman" w:eastAsia="Times New Roman" w:hAnsi="Times New Roman"/>
          <w:sz w:val="18"/>
          <w:szCs w:val="18"/>
          <w:i w:val="1"/>
          <w:iCs w:val="1"/>
          <w:color w:val="auto"/>
        </w:rPr>
        <w:t>Footnote 18</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approximately $48 million in standby letters of credit primarily related to the Company’s self-insurance programs, including workers’ compensation, product liability and medical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provide reasonable assurance that information which is required to be disclosed by the issuer in the reports that it files or submits under the Securities Exchange Act of 1934, as amended (the “Exchange Act”), is recorded, processed, summarized and reported within the time periods specified in the SEC’s rules and forms, and that such information is accumulated and communicated to management, including its CEO and CFO, as appropriate, to allow timely decisions regarding required disclosure. In designing and evaluating such controls and procedures, the Company recognizes that any controls and procedures, no matter how well designed and operated, can provide only reasonable assurance of achieving the desired control objectives.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the Company’s management, including the Company’s CEO and CFO, have evaluated the effectiveness of the Company’s disclosure controls and procedures as of the end of the period covered by this Annual Report. Based on that evaluation, the Company’s CEO and CFO have concluded that the Company’s disclosure controls and procedures were effective at the reasonable assurance level as of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by Rule 13a-15(f) of the Exchange Act. The Company’s internal control over financial reporting is designed to provide reasonable assurance regarding the reliability of financial reporting and the preparation of financial statements for external reporting purposes in accordance with U.S. GAAP. The Company’s internal control over financial reporting includes policies and procedures that:</w:t>
      </w:r>
    </w:p>
    <w:p>
      <w:pPr>
        <w:spacing w:after="0" w:line="207" w:lineRule="exact"/>
        <w:rPr>
          <w:sz w:val="20"/>
          <w:szCs w:val="20"/>
          <w:color w:val="auto"/>
        </w:rPr>
      </w:pPr>
    </w:p>
    <w:p>
      <w:pPr>
        <w:ind w:left="660" w:right="340" w:hanging="247"/>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jc w:val="both"/>
        <w:ind w:left="660" w:right="320" w:hanging="247"/>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the Company’s financial statements in accordance with U.S. GAAP, and that receipts and expenditures are being made only in accordance with authorizations of the Company’s management; and</w:t>
      </w:r>
    </w:p>
    <w:p>
      <w:pPr>
        <w:spacing w:after="0" w:line="1" w:lineRule="exact"/>
        <w:rPr>
          <w:rFonts w:ascii="Times New Roman" w:cs="Times New Roman" w:eastAsia="Times New Roman" w:hAnsi="Times New Roman"/>
          <w:sz w:val="18"/>
          <w:szCs w:val="18"/>
          <w:color w:val="auto"/>
        </w:rPr>
      </w:pPr>
    </w:p>
    <w:p>
      <w:pPr>
        <w:ind w:left="660" w:right="320" w:hanging="247"/>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any evaluation of effectiveness to future periods is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its internal control over financial reporting as of December 31, 2024. In making this assessment, management used the criteria set forth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this evaluation, management concluded the Company’s internal control over financial reporting was effective as of December 31,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independent registered public accounting firm, PricewaterhouseCoopers LLP, has audited the effectiveness of Newell Brands Inc.’s internal control over financial reporting as of December 31, 2024, as stated in their report which appears in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Previously-Reported Material Weaknesses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2023, and in subsequent quarterly reports, management concluded the following material weaknesses existed in internal control over financial reporting: the Company did not maintain effective controls over the reviews of significant assumptions used in the impairment assessment of goodwill, indefinite-lived tradenames and long-lived assets. Specifically, the control activities related to the reviews of the significant assumptions utilized in the impairment assessments were not executed, as designed, at the appropriate level of precision to prevent or detect a material misstatement.</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The Company has completed the following actions in order to remediate the control deficiencies that led to the material weaknesses:</w:t>
      </w:r>
    </w:p>
    <w:p>
      <w:pPr>
        <w:spacing w:after="0" w:line="252" w:lineRule="exact"/>
        <w:rPr>
          <w:sz w:val="20"/>
          <w:szCs w:val="20"/>
          <w:color w:val="auto"/>
        </w:rPr>
      </w:pPr>
    </w:p>
    <w:p>
      <w:pPr>
        <w:ind w:left="660" w:right="340" w:hanging="247"/>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accounting personnel who have extensive experience with performing impairment assessments of goodwill, indefinite-lived tradenames and long-lived assets including the review of the significant assumptions utilized in the underlying valuation models for such assessments;</w:t>
      </w:r>
    </w:p>
    <w:p>
      <w:pPr>
        <w:jc w:val="both"/>
        <w:ind w:left="660" w:right="340" w:hanging="247"/>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third-party valuation firm to assist in the preparation of the valuations of the Company’s reporting units and indefinite-lived intangible assets used in the impairment assessments, as well as utilizing such firm, if necessary, for long-lived asset impairment assessments; and</w:t>
      </w:r>
    </w:p>
    <w:p>
      <w:pPr>
        <w:spacing w:after="0" w:line="1" w:lineRule="exact"/>
        <w:rPr>
          <w:rFonts w:ascii="Times New Roman" w:cs="Times New Roman" w:eastAsia="Times New Roman" w:hAnsi="Times New Roman"/>
          <w:sz w:val="18"/>
          <w:szCs w:val="18"/>
          <w:color w:val="auto"/>
        </w:rPr>
      </w:pPr>
    </w:p>
    <w:p>
      <w:pPr>
        <w:jc w:val="both"/>
        <w:ind w:left="660" w:right="320" w:hanging="247"/>
        <w:spacing w:after="0" w:line="25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level of review procedures in the execution of the control activities performed related to quantitative impairment assessments associated with the long-lived assets in which triggering events were identified as well as those associated with the Company’s annual impairment assessment for indefinite-lived tradenames and goodwill, including the development and maintenance of sufficient supporting documentation related to the control operator’s review of the significant assumptions associated with such impairment assessments.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completed its operating effectiveness testing of the control activities performed related to the review of significant assumptions used in the impairment assessment of goodwill, indefinite-lived tradenames and long-lived assets and determined that, as of December 31, 2024, these control activities have operated effectively for a sufficient period of time to conclude that the previously identified material weaknesses have been remediated as of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Changes in Internal Control Over Financial Reporting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Company’s directors and officers adopted, modified or terminated a Rule 10b5-1 trading arrangement or a non-Rule 10b5-1 trading arrangement during the Company’s fiscal quarter ended December 31, 2024.</w:t>
      </w:r>
    </w:p>
    <w:p>
      <w:pPr>
        <w:spacing w:after="0" w:line="279" w:lineRule="exact"/>
        <w:rPr>
          <w:sz w:val="20"/>
          <w:szCs w:val="20"/>
          <w:color w:val="auto"/>
        </w:rPr>
      </w:pPr>
    </w:p>
    <w:p>
      <w:pPr>
        <w:ind w:right="29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DISCLOSURES REGARDING FOREIGN JURISDICTIONS THAT PREVENT INSPECTIONS </w:t>
      </w: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with respect to Directors will be contained in the Company’s Proxy Statement for the Annual Meeting of Stockholders (the “2025 Proxy Statement”) under the captions “Election of Directors” and “Information Regarding Board of Directors and Committees and Corporate Governance,” which information is incorporated by reference herein.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Executive Officers of the Company is included as a supplemental item at the end of Part I of this report.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compliance with Section 16(a) of the Exchange Act will be included in the 2025 Proxy Statement under the caption “Delinquent Section 16(a) Reports,” which information is incorporated by reference.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with respect to the audit committee and audit committee financial experts will be included in the 2025 Proxy Statement under the caption “Information Regarding Board of Directors and Committees and Corporate Governance — Committees — Audit Committee,” which information is incorporated by reference herein.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under this Item with respect to communications between security holders and Directors will be included in the Proxy Statement under the caption “Information Regarding Board of Directors and Committees and Corporate Governance — Director Nomination Process,” and “Information Regarding Board of Directors and Committees and Corporate Governance — Communications with the Board,” which information is incorporated by reference herein.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“Code of Ethics for Senior Financial Officers,” which is applicable to the Company’s senior financial officers, including the Company’s principal executive officer, principal financial officer, principal accounting officer and controller. The Company also has a separate “Code of Conduct” that is applicable to all Company employees, including each of the Company’s directors and officers. Both the Code of Ethics for Senior Financial Officers and the Code of Conduct are available</w:t>
      </w:r>
    </w:p>
    <w:p>
      <w:pPr>
        <w:sectPr>
          <w:pgSz w:w="11900" w:h="16838" w:orient="portrait"/>
          <w:cols w:equalWidth="0" w:num="1">
            <w:col w:w="11240"/>
          </w:cols>
          <w:pgMar w:left="320" w:top="85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93" w:name="page94"/>
    <w:bookmarkEnd w:id="9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“Corporate Governance” link on the Company’s website at </w:t>
      </w:r>
      <w:r>
        <w:rPr>
          <w:rFonts w:ascii="Times New Roman" w:cs="Times New Roman" w:eastAsia="Times New Roman" w:hAnsi="Times New Roman"/>
          <w:sz w:val="18"/>
          <w:szCs w:val="18"/>
          <w:i w:val="1"/>
          <w:iCs w:val="1"/>
          <w:u w:val="single" w:color="auto"/>
          <w:color w:val="auto"/>
        </w:rPr>
        <w:t>www.newellbrands.com</w:t>
      </w:r>
      <w:r>
        <w:rPr>
          <w:rFonts w:ascii="Times New Roman" w:cs="Times New Roman" w:eastAsia="Times New Roman" w:hAnsi="Times New Roman"/>
          <w:sz w:val="18"/>
          <w:szCs w:val="18"/>
          <w:color w:val="auto"/>
        </w:rPr>
        <w:t>. The Company posts any amendments to or waivers of its Code of Ethics for Senior Financial Officers or to the Code of Conduct (to the extent applicable to the Company’s directors or executive officers) at the same location on the Company’s website. In addition, copies of the Code of Ethics for Senior Financial Officers and of the Code of Conduct may be obtained in print without charge upon written request by any stockholder to the office of the Corporate Secretary of the Company at 6655 Peachtree Dunwoody Road, Atlanta, Georgia 30328.</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Securities Transaction Policy governing the purchase, sale and other dispositions of its securities by directors, officers and employees that is reasonably designed to promote compliance with insider trading laws, rules and regulations and Nasdaq Stock Exchange listing standards. The Securities Transaction Policy is filed as Exhibit 19.1 to this Annual Report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will be included in the 2025 Proxy Statement under the captions “Compensation and Human Capital Committee Report,” “Executive Compensation,” and “Compensation Committee Interlocks and Insider Participation,” which information is incorporated by reference herein.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will be included in the 2025 Proxy Statement under the captions Stock Ownership Information and “Equity Compensation Plan Information,” which information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certain relationships and related transactions will be included in the 2025 Proxy Statement under the caption “Certain Relationships and Related Transactions,” which information is incorporated by reference herein.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with respect to director independence will be included in the 2025 Proxy Statement under the caption “Information Regarding Board of Directors and Committees and Corporate Governance — Director Independence,” which information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will be included in the 2025 Proxy Statement under the caption “Ratification of Appointment of Independent Registered Public Accounting Firm,” which information is incorporated by reference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The following is a list of the financial statements of Newell Brands Inc. included in this report on Form 10-K, which are filed herewith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 - PricewaterhouseCoopers LLP (PCAOB ID 238)</w:t>
      </w:r>
    </w:p>
    <w:p>
      <w:pPr>
        <w:spacing w:after="0" w:line="9" w:lineRule="exact"/>
        <w:rPr>
          <w:sz w:val="20"/>
          <w:szCs w:val="20"/>
          <w:color w:val="auto"/>
        </w:rPr>
      </w:pPr>
    </w:p>
    <w:p>
      <w:pPr>
        <w:ind w:left="340" w:right="1780"/>
        <w:spacing w:after="0" w:line="250" w:lineRule="auto"/>
        <w:rPr>
          <w:sz w:val="20"/>
          <w:szCs w:val="20"/>
          <w:color w:val="auto"/>
        </w:rPr>
      </w:pPr>
      <w:r>
        <w:rPr>
          <w:rFonts w:ascii="Times New Roman" w:cs="Times New Roman" w:eastAsia="Times New Roman" w:hAnsi="Times New Roman"/>
          <w:sz w:val="18"/>
          <w:szCs w:val="18"/>
          <w:color w:val="auto"/>
        </w:rPr>
        <w:t>Consolidated Statements of Operations and Comprehensive Income (Loss)— Years Ended December 31, 2024, 2023 and 2022 Consolidated Balance Sheets —December 31, 2024 and 2023</w:t>
      </w:r>
    </w:p>
    <w:p>
      <w:pPr>
        <w:spacing w:after="0" w:line="1" w:lineRule="exact"/>
        <w:rPr>
          <w:sz w:val="20"/>
          <w:szCs w:val="20"/>
          <w:color w:val="auto"/>
        </w:rPr>
      </w:pPr>
    </w:p>
    <w:p>
      <w:pPr>
        <w:ind w:left="340" w:right="3560"/>
        <w:spacing w:after="0" w:line="255" w:lineRule="auto"/>
        <w:rPr>
          <w:sz w:val="20"/>
          <w:szCs w:val="20"/>
          <w:color w:val="auto"/>
        </w:rPr>
      </w:pPr>
      <w:r>
        <w:rPr>
          <w:rFonts w:ascii="Times New Roman" w:cs="Times New Roman" w:eastAsia="Times New Roman" w:hAnsi="Times New Roman"/>
          <w:sz w:val="18"/>
          <w:szCs w:val="18"/>
          <w:color w:val="auto"/>
        </w:rPr>
        <w:t>Consolidated Statements of Cash Flows — Years Ended December 31, 2024, 2023 and 2022 Consolidated Statements of Stockholders’ Equity — Years Ended December 31, 2024, 2023 and 2022 Notes to Consolidated Financial Statements — December 31, 2024, 2023 and 2022</w:t>
      </w:r>
    </w:p>
    <w:p>
      <w:pPr>
        <w:spacing w:after="0" w:line="213" w:lineRule="exact"/>
        <w:rPr>
          <w:sz w:val="20"/>
          <w:szCs w:val="20"/>
          <w:color w:val="auto"/>
        </w:rPr>
      </w:pPr>
    </w:p>
    <w:p>
      <w:pPr>
        <w:ind w:firstLine="8"/>
        <w:spacing w:after="0" w:line="282" w:lineRule="auto"/>
        <w:tabs>
          <w:tab w:leader="none" w:pos="2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 schedule of the Company included in this report on Form 10-K is filed herewith pursuant to Item 15(c) and appears after the signature pages at the end of this Form 10-K: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 II — VALUATION AND QUALIFYING ACCOUNTS—Years Ended December 31, 2024, 2023 and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financial schedules are not required under the related instructions or are inapplicable and, therefore, have been omitted.</w:t>
      </w:r>
    </w:p>
    <w:p>
      <w:pPr>
        <w:spacing w:after="0" w:line="252" w:lineRule="exact"/>
        <w:rPr>
          <w:sz w:val="20"/>
          <w:szCs w:val="20"/>
          <w:color w:val="auto"/>
        </w:rPr>
      </w:pPr>
    </w:p>
    <w:p>
      <w:pPr>
        <w:ind w:firstLine="8"/>
        <w:spacing w:after="0" w:line="282" w:lineRule="auto"/>
        <w:tabs>
          <w:tab w:leader="none" w:pos="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herewith are listed on the Exhibit Index filed as part of this report on Form 10-K. Each management contract or compensatory plan or arrangement of the Company listed on the Exhibit Index is separately identified by an asterisk.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 INDEX</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6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Number</w:t>
        <w:tab/>
        <w:t>Description of Exhibit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3—ARTICLES OF INCORPORATION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940" w:right="40" w:hanging="582"/>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13">
        <w:r>
          <w:rPr>
            <w:rFonts w:ascii="Times New Roman" w:cs="Times New Roman" w:eastAsia="Times New Roman" w:hAnsi="Times New Roman"/>
            <w:sz w:val="18"/>
            <w:szCs w:val="18"/>
            <w:u w:val="single" w:color="auto"/>
            <w:color w:val="0000FF"/>
          </w:rPr>
          <w:t>Restated Certificate of Incorporation of Newell Brands Inc. as of April 15, 2016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Current Report on Form 8-K dated April 15, 2016, File No. 001-09608).</w:t>
        </w:r>
      </w:hyperlink>
    </w:p>
    <w:p>
      <w:pPr>
        <w:spacing w:after="0" w:line="10" w:lineRule="exact"/>
        <w:rPr>
          <w:sz w:val="20"/>
          <w:szCs w:val="20"/>
          <w:color w:val="auto"/>
        </w:rPr>
      </w:pPr>
    </w:p>
    <w:p>
      <w:pPr>
        <w:ind w:left="940" w:right="20" w:hanging="582"/>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14">
        <w:r>
          <w:rPr>
            <w:rFonts w:ascii="Times New Roman" w:cs="Times New Roman" w:eastAsia="Times New Roman" w:hAnsi="Times New Roman"/>
            <w:sz w:val="18"/>
            <w:szCs w:val="18"/>
            <w:u w:val="single" w:color="auto"/>
            <w:color w:val="0000FF"/>
          </w:rPr>
          <w:t>Certificate of Amendment to the Restated Certificate of Incorporation of Newell Brands Inc., as amended as of May 7, 2019 (incorporated by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reference to Exhibit 3.1 to the Company’s Current Report on Form 8-K dated May 10, 2019, File No. 001-09608).</w:t>
        </w:r>
      </w:hyperlink>
    </w:p>
    <w:p>
      <w:pPr>
        <w:spacing w:after="0" w:line="10" w:lineRule="exact"/>
        <w:rPr>
          <w:sz w:val="20"/>
          <w:szCs w:val="20"/>
          <w:color w:val="auto"/>
        </w:rPr>
      </w:pPr>
    </w:p>
    <w:p>
      <w:pPr>
        <w:ind w:left="940" w:right="20" w:hanging="582"/>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15">
        <w:r>
          <w:rPr>
            <w:rFonts w:ascii="Times New Roman" w:cs="Times New Roman" w:eastAsia="Times New Roman" w:hAnsi="Times New Roman"/>
            <w:sz w:val="18"/>
            <w:szCs w:val="18"/>
            <w:u w:val="single" w:color="auto"/>
            <w:color w:val="0000FF"/>
          </w:rPr>
          <w:t>Certificate of Amendment to the Restated Certificate of Incorporation of Newell Brands Inc., amended as of May 9, 2024 (incorporated by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reference to Exhibit 3.1 of the Current Report on Form 8-K dated May 10, 2024,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40" w:right="40" w:hanging="582"/>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17">
        <w:r>
          <w:rPr>
            <w:rFonts w:ascii="Times New Roman" w:cs="Times New Roman" w:eastAsia="Times New Roman" w:hAnsi="Times New Roman"/>
            <w:sz w:val="18"/>
            <w:szCs w:val="18"/>
            <w:u w:val="single" w:color="auto"/>
            <w:color w:val="0000FF"/>
          </w:rPr>
          <w:t>By-Laws of Newell Brands Inc., as amended effective as of February 21, 2024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Current Report on Form 8-K dated February 22, 2024, File No. 001-09608).</w:t>
        </w:r>
      </w:hyperlink>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 INSTRUMENTS DEFINING THE RIGHTS OF SECURITY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FF"/>
        </w:rPr>
        <w:t>Description of the Registrant’s Securities Registered Pursuant to Section 12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940" w:right="20" w:hanging="582"/>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20">
        <w:r>
          <w:rPr>
            <w:rFonts w:ascii="Times New Roman" w:cs="Times New Roman" w:eastAsia="Times New Roman" w:hAnsi="Times New Roman"/>
            <w:sz w:val="18"/>
            <w:szCs w:val="18"/>
            <w:u w:val="single" w:color="auto"/>
            <w:color w:val="0000FF"/>
          </w:rPr>
          <w:t>Specimen Stock Certificate for Newell Brands Inc. (incorporated by reference to Exhibit 4.1 to the Company’s Quarterly Report on Form 10-</w:t>
        </w:r>
      </w:hyperlink>
      <w:hyperlink r:id="rId120">
        <w:r>
          <w:rPr>
            <w:rFonts w:ascii="Times New Roman" w:cs="Times New Roman" w:eastAsia="Times New Roman" w:hAnsi="Times New Roman"/>
            <w:sz w:val="18"/>
            <w:szCs w:val="18"/>
            <w:u w:val="single" w:color="auto"/>
            <w:color w:val="0000FF"/>
          </w:rPr>
          <w:t>Q for the quarterly period ended March 31, 2016, File No. 001-09608).</w:t>
        </w:r>
      </w:hyperlink>
    </w:p>
    <w:p>
      <w:pPr>
        <w:spacing w:after="0" w:line="10" w:lineRule="exact"/>
        <w:rPr>
          <w:sz w:val="20"/>
          <w:szCs w:val="20"/>
          <w:color w:val="auto"/>
        </w:rPr>
      </w:pPr>
    </w:p>
    <w:p>
      <w:pPr>
        <w:ind w:left="940" w:right="20" w:hanging="582"/>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21">
        <w:r>
          <w:rPr>
            <w:rFonts w:ascii="Times New Roman" w:cs="Times New Roman" w:eastAsia="Times New Roman" w:hAnsi="Times New Roman"/>
            <w:sz w:val="18"/>
            <w:szCs w:val="18"/>
            <w:u w:val="single" w:color="auto"/>
            <w:color w:val="0000FF"/>
          </w:rPr>
          <w:t>Indenture, dated as of June 14, 2012, between Newell Rubbermaid Inc. and The Bank of New York Mellon Trust Company, N.A., as trustee</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(incorporated by reference to Exhibit 4.1 to the Company’s Current Report on Form 8-K dated June 11, 2012, File No. 001-09608).</w:t>
        </w:r>
      </w:hyperlink>
    </w:p>
    <w:p>
      <w:pPr>
        <w:spacing w:after="0" w:line="10" w:lineRule="exact"/>
        <w:rPr>
          <w:sz w:val="20"/>
          <w:szCs w:val="20"/>
          <w:color w:val="auto"/>
        </w:rPr>
      </w:pPr>
    </w:p>
    <w:p>
      <w:pPr>
        <w:ind w:left="940" w:right="20" w:hanging="582"/>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22">
        <w:r>
          <w:rPr>
            <w:rFonts w:ascii="Times New Roman" w:cs="Times New Roman" w:eastAsia="Times New Roman" w:hAnsi="Times New Roman"/>
            <w:sz w:val="18"/>
            <w:szCs w:val="18"/>
            <w:u w:val="single" w:color="auto"/>
            <w:color w:val="0000FF"/>
          </w:rPr>
          <w:t>Indenture, dated as of November 19, 2014, between Newell Rubbermaid Inc. and U.S. Bank National Association, as trustee (incorporated by</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reference to Exhibit 4.1 to the Company’s Current Report on Form 8-K dated November 14, 2014,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jc w:val="right"/>
        <w:ind w:left="340" w:righ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124">
        <w:r>
          <w:rPr>
            <w:rFonts w:ascii="Times New Roman" w:cs="Times New Roman" w:eastAsia="Times New Roman" w:hAnsi="Times New Roman"/>
            <w:sz w:val="18"/>
            <w:szCs w:val="18"/>
            <w:u w:val="single" w:color="auto"/>
            <w:color w:val="0000FF"/>
          </w:rPr>
          <w:t>First Supplemental Indenture, dated November 13, 2024, by and between the Company and U.S. Bank Trust Company, National Association,</w:t>
        </w:r>
      </w:hyperlink>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FF"/>
          </w:rPr>
          <w:t>as trustee (incorporated by reference to Exhibit 4.1 to the Company’s Current Report on Form 8-K dated November 13, 2024, File No. 001-</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34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4.6    </w:t>
      </w:r>
      <w:hyperlink r:id="rId126">
        <w:r>
          <w:rPr>
            <w:rFonts w:ascii="Times New Roman" w:cs="Times New Roman" w:eastAsia="Times New Roman" w:hAnsi="Times New Roman"/>
            <w:sz w:val="18"/>
            <w:szCs w:val="18"/>
            <w:u w:val="single" w:color="auto"/>
            <w:color w:val="0000FF"/>
          </w:rPr>
          <w:t>Second Supplemental Indenture, dated November 13, 2024, by and between the Company and U.S. Bank Trust Company, National</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FF"/>
          </w:rPr>
          <w:t>Association, as trustee (incorporated by reference to Exhibit 4.2 to the Company’s Current Report on Form 8-K dated November 13, 2024,</w:t>
        </w:r>
      </w:hyperlink>
    </w:p>
    <w:p>
      <w:pPr>
        <w:ind w:left="94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File No. 001-09608).</w:t>
        </w:r>
      </w:hyperlink>
    </w:p>
    <w:p>
      <w:pPr>
        <w:spacing w:after="0" w:line="7" w:lineRule="exact"/>
        <w:rPr>
          <w:sz w:val="20"/>
          <w:szCs w:val="20"/>
          <w:color w:val="auto"/>
        </w:rPr>
      </w:pPr>
    </w:p>
    <w:p>
      <w:pPr>
        <w:jc w:val="right"/>
        <w:ind w:left="34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w:t>
      </w:r>
      <w:hyperlink r:id="rId127">
        <w:r>
          <w:rPr>
            <w:rFonts w:ascii="Times New Roman" w:cs="Times New Roman" w:eastAsia="Times New Roman" w:hAnsi="Times New Roman"/>
            <w:sz w:val="18"/>
            <w:szCs w:val="18"/>
            <w:u w:val="single" w:color="auto"/>
            <w:color w:val="0000FF"/>
          </w:rPr>
          <w:t>Form of 4.000% Note due 2024 issued pursuant to the Indenture, dated as of November 19, 2014, between the Company and U.S. Bank</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FF"/>
          </w:rPr>
          <w:t>National Association, as trustee (incorporated by reference to Exhibit 4.3 to the Company’s Current Report on Form 8-K dated November 14,</w:t>
        </w:r>
      </w:hyperlink>
    </w:p>
    <w:p>
      <w:pPr>
        <w:ind w:left="94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2014,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34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129">
        <w:r>
          <w:rPr>
            <w:rFonts w:ascii="Times New Roman" w:cs="Times New Roman" w:eastAsia="Times New Roman" w:hAnsi="Times New Roman"/>
            <w:sz w:val="18"/>
            <w:szCs w:val="18"/>
            <w:u w:val="single" w:color="auto"/>
            <w:color w:val="0000FF"/>
          </w:rPr>
          <w:t>Form of 3.900% Note due 2025 issued pursuant to the Indenture, dated as of November 19, 2014, between the Company and U.S. Bank</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FF"/>
          </w:rPr>
          <w:t>National Association, as trustee (incorporated by reference to Exhibit 4.2 to the Company’s Current Report on Form 8-K dated October 14,</w:t>
        </w:r>
      </w:hyperlink>
    </w:p>
    <w:p>
      <w:pPr>
        <w:ind w:left="94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2015, File No. 001-09608).</w:t>
        </w:r>
      </w:hyperlink>
    </w:p>
    <w:p>
      <w:pPr>
        <w:spacing w:after="0" w:line="7" w:lineRule="exact"/>
        <w:rPr>
          <w:sz w:val="20"/>
          <w:szCs w:val="20"/>
          <w:color w:val="auto"/>
        </w:rPr>
      </w:pPr>
    </w:p>
    <w:p>
      <w:pPr>
        <w:jc w:val="right"/>
        <w:ind w:left="34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4.9    </w:t>
      </w:r>
      <w:hyperlink r:id="rId130">
        <w:r>
          <w:rPr>
            <w:rFonts w:ascii="Times New Roman" w:cs="Times New Roman" w:eastAsia="Times New Roman" w:hAnsi="Times New Roman"/>
            <w:sz w:val="18"/>
            <w:szCs w:val="18"/>
            <w:u w:val="single" w:color="auto"/>
            <w:color w:val="0000FF"/>
          </w:rPr>
          <w:t>Form of 4.200% note due 2026 issued pursuant to the Indenture, dated as of November 19, 2014, between the Company and U.S. Bank</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FF"/>
          </w:rPr>
          <w:t>National Association, as trustee (incorporated by reference to Exhibit 4.4 to the Company’s Current Report on Form 8-K dated March 18,</w:t>
        </w:r>
      </w:hyperlink>
    </w:p>
    <w:p>
      <w:pPr>
        <w:ind w:left="94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2016, File No. 001-09608).</w:t>
        </w:r>
      </w:hyperlink>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95" w:name="page96"/>
    <w:bookmarkEnd w:id="95"/>
    <w:p>
      <w:pPr>
        <w:jc w:val="right"/>
        <w:ind w:left="2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4.10    </w:t>
      </w:r>
      <w:hyperlink r:id="rId132">
        <w:r>
          <w:rPr>
            <w:rFonts w:ascii="Times New Roman" w:cs="Times New Roman" w:eastAsia="Times New Roman" w:hAnsi="Times New Roman"/>
            <w:sz w:val="18"/>
            <w:szCs w:val="18"/>
            <w:u w:val="single" w:color="auto"/>
            <w:color w:val="0000FF"/>
          </w:rPr>
          <w:t>Form of 5.375% note due 2036 issued pursuant to the Indenture, dated as of November 19, 2014, between the Company and U.S. Bank</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FF"/>
          </w:rPr>
          <w:t>National Association, as trustee (incorporated by reference to Exhibit 4.5 to the Company’s Current Report on Form 8-K dated March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32320"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2016, File No. 001-09608).</w:t>
        </w:r>
      </w:hyperlink>
    </w:p>
    <w:p>
      <w:pPr>
        <w:spacing w:after="0" w:line="7" w:lineRule="exact"/>
        <w:rPr>
          <w:sz w:val="20"/>
          <w:szCs w:val="20"/>
          <w:color w:val="auto"/>
        </w:rPr>
      </w:pPr>
    </w:p>
    <w:p>
      <w:pPr>
        <w:jc w:val="right"/>
        <w:ind w:left="28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4.11    </w:t>
      </w:r>
      <w:hyperlink r:id="rId134">
        <w:r>
          <w:rPr>
            <w:rFonts w:ascii="Times New Roman" w:cs="Times New Roman" w:eastAsia="Times New Roman" w:hAnsi="Times New Roman"/>
            <w:sz w:val="18"/>
            <w:szCs w:val="18"/>
            <w:u w:val="single" w:color="auto"/>
            <w:color w:val="0000FF"/>
          </w:rPr>
          <w:t>Form of 5.500% note due 2046 issued pursuant to the Indenture, dated as of November 19, 2014, between the Company and U.S. Bank</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FF"/>
          </w:rPr>
          <w:t>National Association, as trustee (incorporated by reference to Exhibit 4.6 to the Company’s Current Report on Form 8-K dated March 18,</w:t>
        </w:r>
      </w:hyperlink>
    </w:p>
    <w:p>
      <w:pPr>
        <w:ind w:left="92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2016,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377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28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4.12    </w:t>
      </w:r>
      <w:hyperlink r:id="rId136">
        <w:r>
          <w:rPr>
            <w:rFonts w:ascii="Times New Roman" w:cs="Times New Roman" w:eastAsia="Times New Roman" w:hAnsi="Times New Roman"/>
            <w:sz w:val="18"/>
            <w:szCs w:val="18"/>
            <w:u w:val="single" w:color="auto"/>
            <w:color w:val="0000FF"/>
          </w:rPr>
          <w:t>Form of 4.875% Note due 2025 issued pursuant to the Indenture, dated as of November 19, 2014, between the Company and U.S. Bank</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National Association, as trustee (incorporated by reference to Exhibit 4.1 to the Company’s Current Report on Form 8-K dated May 26, 2020,</w:t>
        </w:r>
      </w:hyperlink>
    </w:p>
    <w:p>
      <w:pPr>
        <w:ind w:left="92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File No. 001-09608).</w:t>
        </w:r>
      </w:hyperlink>
    </w:p>
    <w:p>
      <w:pPr>
        <w:spacing w:after="0" w:line="7" w:lineRule="exact"/>
        <w:rPr>
          <w:sz w:val="20"/>
          <w:szCs w:val="20"/>
          <w:color w:val="auto"/>
        </w:rPr>
      </w:pPr>
    </w:p>
    <w:p>
      <w:pPr>
        <w:jc w:val="right"/>
        <w:ind w:left="28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4.13    </w:t>
      </w:r>
      <w:hyperlink r:id="rId137">
        <w:r>
          <w:rPr>
            <w:rFonts w:ascii="Times New Roman" w:cs="Times New Roman" w:eastAsia="Times New Roman" w:hAnsi="Times New Roman"/>
            <w:sz w:val="18"/>
            <w:szCs w:val="18"/>
            <w:u w:val="single" w:color="auto"/>
            <w:color w:val="0000FF"/>
          </w:rPr>
          <w:t>Form of 6.375% note due 2027 issued pursuant to the Indenture, dated as of November 19, 2014, between the Company and U.S. Bank Trust</w:t>
        </w:r>
      </w:hyperlink>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u w:val="single" w:color="auto"/>
            <w:color w:val="0000FF"/>
          </w:rPr>
          <w:t>Company, as trustee (incorporated by reference to Exhibit 4.1 to the Company’s Current Report on Form 8-K dated September 14, 2022, File</w:t>
        </w:r>
      </w:hyperlink>
    </w:p>
    <w:p>
      <w:pPr>
        <w:ind w:left="9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28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w:t>
      </w:r>
      <w:hyperlink r:id="rId139">
        <w:r>
          <w:rPr>
            <w:rFonts w:ascii="Times New Roman" w:cs="Times New Roman" w:eastAsia="Times New Roman" w:hAnsi="Times New Roman"/>
            <w:sz w:val="18"/>
            <w:szCs w:val="18"/>
            <w:u w:val="single" w:color="auto"/>
            <w:color w:val="0000FF"/>
          </w:rPr>
          <w:t>Form of 6.625% note due 2029 issued pursuant to the Indenture, dated as of November 19, 2022, between the Company and U.S. Bank Trust</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Company, as trustee (incorporated by reference to Exhibit 4.2 to the Company’s Current Report on Form 8-K dated September 14, 2022, File</w:t>
        </w:r>
      </w:hyperlink>
    </w:p>
    <w:p>
      <w:pPr>
        <w:ind w:left="92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No. 001-09608).</w:t>
        </w:r>
      </w:hyperlink>
    </w:p>
    <w:p>
      <w:pPr>
        <w:spacing w:after="0" w:line="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Pursuant to item 601(b)(4)(iii)(A) of Regulation S-K, the Company is not filing certain documents. The Company agrees to furnish a copy of each such document upon the request of the Commission.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920" w:hanging="672"/>
        <w:spacing w:after="0" w:line="234"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41">
        <w:r>
          <w:rPr>
            <w:rFonts w:ascii="Times New Roman" w:cs="Times New Roman" w:eastAsia="Times New Roman" w:hAnsi="Times New Roman"/>
            <w:sz w:val="18"/>
            <w:szCs w:val="18"/>
            <w:u w:val="single" w:color="auto"/>
            <w:color w:val="0000FF"/>
          </w:rPr>
          <w:t>2021 Long Term Incentive Plan Terms and Conditions (incorporated by reference to Exhibit 10.1 to the Company’s Current Report on Form 8-</w:t>
        </w:r>
      </w:hyperlink>
      <w:hyperlink r:id="rId141">
        <w:r>
          <w:rPr>
            <w:rFonts w:ascii="Times New Roman" w:cs="Times New Roman" w:eastAsia="Times New Roman" w:hAnsi="Times New Roman"/>
            <w:sz w:val="18"/>
            <w:szCs w:val="18"/>
            <w:u w:val="single" w:color="auto"/>
            <w:color w:val="0000FF"/>
          </w:rPr>
          <w:t>K dated February 17, 2021, File No. 001-09608).</w:t>
        </w:r>
      </w:hyperlink>
    </w:p>
    <w:p>
      <w:pPr>
        <w:spacing w:after="0" w:line="10" w:lineRule="exact"/>
        <w:rPr>
          <w:sz w:val="20"/>
          <w:szCs w:val="20"/>
          <w:color w:val="auto"/>
        </w:rPr>
      </w:pPr>
    </w:p>
    <w:p>
      <w:pPr>
        <w:ind w:left="920" w:hanging="672"/>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42">
        <w:r>
          <w:rPr>
            <w:rFonts w:ascii="Times New Roman" w:cs="Times New Roman" w:eastAsia="Times New Roman" w:hAnsi="Times New Roman"/>
            <w:sz w:val="18"/>
            <w:szCs w:val="18"/>
            <w:u w:val="single" w:color="auto"/>
            <w:color w:val="0000FF"/>
          </w:rPr>
          <w:t>Amended and Restated Newell Brands Inc. Management Bonus Plan, effective January 1, 2021,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the Company’s Current Report on Form 8-K dated February 17, 2021,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20" w:hanging="672"/>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44">
        <w:r>
          <w:rPr>
            <w:rFonts w:ascii="Times New Roman" w:cs="Times New Roman" w:eastAsia="Times New Roman" w:hAnsi="Times New Roman"/>
            <w:sz w:val="18"/>
            <w:szCs w:val="18"/>
            <w:u w:val="single" w:color="auto"/>
            <w:color w:val="0000FF"/>
          </w:rPr>
          <w:t>2022 Long Term Incentive Plan Terms and Conditions (incorporated by reference to Exhibit 10.1 to the Company’s Current Report on Form 8-</w:t>
        </w:r>
      </w:hyperlink>
      <w:hyperlink r:id="rId144">
        <w:r>
          <w:rPr>
            <w:rFonts w:ascii="Times New Roman" w:cs="Times New Roman" w:eastAsia="Times New Roman" w:hAnsi="Times New Roman"/>
            <w:sz w:val="18"/>
            <w:szCs w:val="18"/>
            <w:u w:val="single" w:color="auto"/>
            <w:color w:val="0000FF"/>
          </w:rPr>
          <w:t>K dated February 11, 2022, File No. 001-09608).</w:t>
        </w:r>
      </w:hyperlink>
    </w:p>
    <w:p>
      <w:pPr>
        <w:spacing w:after="0" w:line="10" w:lineRule="exact"/>
        <w:rPr>
          <w:sz w:val="20"/>
          <w:szCs w:val="20"/>
          <w:color w:val="auto"/>
        </w:rPr>
      </w:pPr>
    </w:p>
    <w:p>
      <w:pPr>
        <w:jc w:val="right"/>
        <w:ind w:left="2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145">
        <w:r>
          <w:rPr>
            <w:rFonts w:ascii="Times New Roman" w:cs="Times New Roman" w:eastAsia="Times New Roman" w:hAnsi="Times New Roman"/>
            <w:sz w:val="18"/>
            <w:szCs w:val="18"/>
            <w:u w:val="single" w:color="auto"/>
            <w:color w:val="0000FF"/>
          </w:rPr>
          <w:t>Form of 2022 Restricted Stock Unit Award Agreement under the Newell Rubbermaid Inc. 2013 Incentive Plan (as amended, for Awards to the</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Chief Executive Officer (incorporated by reference to Exhibit 10.4 to the Company’s Quarterly Report on Form 10-Q for the quarterly period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32320"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2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ended March 31, 2022, File No. 001-09608).</w:t>
        </w:r>
      </w:hyperlink>
    </w:p>
    <w:p>
      <w:pPr>
        <w:spacing w:after="0" w:line="7" w:lineRule="exact"/>
        <w:rPr>
          <w:sz w:val="20"/>
          <w:szCs w:val="20"/>
          <w:color w:val="auto"/>
        </w:rPr>
      </w:pPr>
    </w:p>
    <w:p>
      <w:pPr>
        <w:jc w:val="right"/>
        <w:ind w:left="24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   </w:t>
      </w:r>
      <w:hyperlink r:id="rId147">
        <w:r>
          <w:rPr>
            <w:rFonts w:ascii="Times New Roman" w:cs="Times New Roman" w:eastAsia="Times New Roman" w:hAnsi="Times New Roman"/>
            <w:sz w:val="18"/>
            <w:szCs w:val="18"/>
            <w:u w:val="single" w:color="auto"/>
            <w:color w:val="0000FF"/>
          </w:rPr>
          <w:t>Form of 2022 Restricted Stock Unit Award Agreement under the Newell Rubbermaid Inc. 2013 Incentive Plan, as amended, for Awards to</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Employees (Vice President Level and above) (incorporated by reference to Exhibit 10.5 to the Company’s Quarterly Report on Form 10-Q for</w:t>
        </w:r>
      </w:hyperlink>
    </w:p>
    <w:p>
      <w:pPr>
        <w:ind w:left="9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the quarterly period ended March 31, 2022,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3771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24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49">
        <w:r>
          <w:rPr>
            <w:rFonts w:ascii="Times New Roman" w:cs="Times New Roman" w:eastAsia="Times New Roman" w:hAnsi="Times New Roman"/>
            <w:sz w:val="18"/>
            <w:szCs w:val="18"/>
            <w:u w:val="single" w:color="auto"/>
            <w:color w:val="0000FF"/>
          </w:rPr>
          <w:t>Form of 2022 Restricted Stock Unit Award Agreement under the Newell Rubbermaid Inc. 2013 Incentive Plan, as amended, for Awards to</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Employees (Director Level) (incorporated by reference to Exhibit 10.6 to the Company’s Quarterly Report on Form 10-Q for the quarterly</w:t>
        </w:r>
      </w:hyperlink>
    </w:p>
    <w:p>
      <w:pPr>
        <w:ind w:left="92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period ended March 31, 2022, File No. 001-09608).</w:t>
        </w:r>
      </w:hyperlink>
    </w:p>
    <w:p>
      <w:pPr>
        <w:spacing w:after="0" w:line="7" w:lineRule="exact"/>
        <w:rPr>
          <w:sz w:val="20"/>
          <w:szCs w:val="20"/>
          <w:color w:val="auto"/>
        </w:rPr>
      </w:pPr>
    </w:p>
    <w:p>
      <w:pPr>
        <w:jc w:val="right"/>
        <w:ind w:left="24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50">
        <w:r>
          <w:rPr>
            <w:rFonts w:ascii="Times New Roman" w:cs="Times New Roman" w:eastAsia="Times New Roman" w:hAnsi="Times New Roman"/>
            <w:sz w:val="18"/>
            <w:szCs w:val="18"/>
            <w:u w:val="single" w:color="auto"/>
            <w:color w:val="0000FF"/>
          </w:rPr>
          <w:t>Form of 2022 Non-Qualified Stock Option Agreement under the Newell Rubbermaid Inc. 2013 Incentive Plan, as amended, for Awards to the</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Chief Executive Officer (incorporated by reference to Exhibit 10.7 to the Company’s Quarterly Report on Form 10-Q for the quarterly report</w:t>
        </w:r>
      </w:hyperlink>
    </w:p>
    <w:p>
      <w:pPr>
        <w:ind w:left="9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period ended March 31, 2022,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3771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24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152">
        <w:r>
          <w:rPr>
            <w:rFonts w:ascii="Times New Roman" w:cs="Times New Roman" w:eastAsia="Times New Roman" w:hAnsi="Times New Roman"/>
            <w:sz w:val="18"/>
            <w:szCs w:val="18"/>
            <w:u w:val="single" w:color="auto"/>
            <w:color w:val="0000FF"/>
          </w:rPr>
          <w:t>Form of 2022 Non-Qualified Stock Option Agreement under the Newell Rubbermaid Inc. 2013 Incentive Plan, as amended, for Awards to</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Employees (incorporated by reference to Exhibit 10.8 to The Company’s Quarterly Report on Form 10-Q for the quarterly report period ended</w:t>
        </w:r>
      </w:hyperlink>
    </w:p>
    <w:p>
      <w:pPr>
        <w:ind w:left="9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March 31, 2022, File No. 001-09608).</w:t>
        </w:r>
      </w:hyperlink>
    </w:p>
    <w:p>
      <w:pPr>
        <w:spacing w:after="0" w:line="7" w:lineRule="exact"/>
        <w:rPr>
          <w:sz w:val="20"/>
          <w:szCs w:val="20"/>
          <w:color w:val="auto"/>
        </w:rPr>
      </w:pPr>
    </w:p>
    <w:p>
      <w:pPr>
        <w:ind w:left="920" w:hanging="672"/>
        <w:spacing w:after="0" w:line="234"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53">
        <w:r>
          <w:rPr>
            <w:rFonts w:ascii="Times New Roman" w:cs="Times New Roman" w:eastAsia="Times New Roman" w:hAnsi="Times New Roman"/>
            <w:sz w:val="18"/>
            <w:szCs w:val="18"/>
            <w:u w:val="single" w:color="auto"/>
            <w:color w:val="0000FF"/>
          </w:rPr>
          <w:t>Newell Brands Inc. 2022 Incentive Plan (incorporated by reference to Appendix B to the Company’s Proxy Statement dated March 23, 2022,</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File No. 001-09608).</w:t>
        </w:r>
      </w:hyperlink>
    </w:p>
    <w:p>
      <w:pPr>
        <w:spacing w:after="0" w:line="10" w:lineRule="exact"/>
        <w:rPr>
          <w:sz w:val="20"/>
          <w:szCs w:val="20"/>
          <w:color w:val="auto"/>
        </w:rPr>
      </w:pPr>
    </w:p>
    <w:p>
      <w:pPr>
        <w:ind w:left="920" w:hanging="717"/>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54">
        <w:r>
          <w:rPr>
            <w:rFonts w:ascii="Times New Roman" w:cs="Times New Roman" w:eastAsia="Times New Roman" w:hAnsi="Times New Roman"/>
            <w:sz w:val="18"/>
            <w:szCs w:val="18"/>
            <w:u w:val="single" w:color="auto"/>
            <w:color w:val="0000FF"/>
          </w:rPr>
          <w:t>Newell Brands Inc. 2022 Incentive Plan, as amended May 9, 2024 (incorporated by reference to Exhibit 10.1 to the Company’s Current Report</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on Form 8-K dated May 10, 2024,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20" w:hanging="713"/>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56">
        <w:r>
          <w:rPr>
            <w:rFonts w:ascii="Times New Roman" w:cs="Times New Roman" w:eastAsia="Times New Roman" w:hAnsi="Times New Roman"/>
            <w:sz w:val="18"/>
            <w:szCs w:val="18"/>
            <w:u w:val="single" w:color="auto"/>
            <w:color w:val="0000FF"/>
          </w:rPr>
          <w:t>2022 Restricted Stock Unit Award Agreement under the Newell Brands Inc., 2022 Incentive Plan (incorporated by reference to 10.1 of the</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Company’s Current Report on Form 8-K dated May 6, 2022, File No. 001-09608).</w:t>
        </w:r>
      </w:hyperlink>
    </w:p>
    <w:p>
      <w:pPr>
        <w:spacing w:after="0" w:line="10" w:lineRule="exact"/>
        <w:rPr>
          <w:sz w:val="20"/>
          <w:szCs w:val="20"/>
          <w:color w:val="auto"/>
        </w:rPr>
      </w:pPr>
    </w:p>
    <w:p>
      <w:pPr>
        <w:ind w:left="920" w:hanging="717"/>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57">
        <w:r>
          <w:rPr>
            <w:rFonts w:ascii="Times New Roman" w:cs="Times New Roman" w:eastAsia="Times New Roman" w:hAnsi="Times New Roman"/>
            <w:sz w:val="18"/>
            <w:szCs w:val="18"/>
            <w:u w:val="single" w:color="auto"/>
            <w:color w:val="0000FF"/>
          </w:rPr>
          <w:t>2022 Non-Qualified Stock Option Agreement under the Newell Brands Inc., 2022 Incentive Plan (incorporated by reference to 10.2 of the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Company’s Current Report on Form 8-K dated May 6, 2022, File No. 001-09609).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6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0"/>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59">
        <w:r>
          <w:rPr>
            <w:rFonts w:ascii="Times New Roman" w:cs="Times New Roman" w:eastAsia="Times New Roman" w:hAnsi="Times New Roman"/>
            <w:sz w:val="18"/>
            <w:szCs w:val="18"/>
            <w:u w:val="single" w:color="auto"/>
            <w:color w:val="0000FF"/>
          </w:rPr>
          <w:t>Newell Rubbermaid Inc. 2008 Deferred Compensation Plan, as amended and restated August 5, 2013 (Incorporated by reference to Exhibit</w:t>
        </w:r>
      </w:hyperlink>
    </w:p>
    <w:p>
      <w:pPr>
        <w:spacing w:after="0" w:line="1"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10.5 of the Company’s Quarterly Report Form 10-Q for the quarter period ended June 30, 2013).</w:t>
        </w:r>
      </w:hyperlink>
    </w:p>
    <w:p>
      <w:pPr>
        <w:spacing w:after="0" w:line="16" w:lineRule="exact"/>
        <w:rPr>
          <w:sz w:val="20"/>
          <w:szCs w:val="20"/>
          <w:color w:val="auto"/>
        </w:rPr>
      </w:pPr>
    </w:p>
    <w:p>
      <w:pPr>
        <w:ind w:left="920" w:hanging="717"/>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60">
        <w:r>
          <w:rPr>
            <w:rFonts w:ascii="Times New Roman" w:cs="Times New Roman" w:eastAsia="Times New Roman" w:hAnsi="Times New Roman"/>
            <w:sz w:val="18"/>
            <w:szCs w:val="18"/>
            <w:u w:val="single" w:color="auto"/>
            <w:color w:val="0000FF"/>
          </w:rPr>
          <w:t>First Amendment, dated August 9, 2017, to the Newell Rubbermaid Inc. 2008 Deferred Compensation Plan, as amended (incorporated by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reference to Exhibit 10.1 to the Company’s Current Report on Form 8-K dated August 9, 2017,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20" w:hanging="717"/>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62">
        <w:r>
          <w:rPr>
            <w:rFonts w:ascii="Times New Roman" w:cs="Times New Roman" w:eastAsia="Times New Roman" w:hAnsi="Times New Roman"/>
            <w:sz w:val="18"/>
            <w:szCs w:val="18"/>
            <w:u w:val="single" w:color="auto"/>
            <w:color w:val="0000FF"/>
          </w:rPr>
          <w:t>Second Amendment, dated November 8, 2017, to the Newell Rubbermaid Inc. 2008 Deferred Compensation Plan, as amended (incorporated</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by reference to Exhibit 10.4 to the Company’s Report on Form 10-K for the year ended December 31, 2018, File No. 001-09608).</w:t>
        </w:r>
      </w:hyperlink>
    </w:p>
    <w:p>
      <w:pPr>
        <w:spacing w:after="0" w:line="10" w:lineRule="exact"/>
        <w:rPr>
          <w:sz w:val="20"/>
          <w:szCs w:val="20"/>
          <w:color w:val="auto"/>
        </w:rPr>
      </w:pPr>
    </w:p>
    <w:p>
      <w:pPr>
        <w:ind w:left="920" w:hanging="717"/>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63">
        <w:r>
          <w:rPr>
            <w:rFonts w:ascii="Times New Roman" w:cs="Times New Roman" w:eastAsia="Times New Roman" w:hAnsi="Times New Roman"/>
            <w:sz w:val="18"/>
            <w:szCs w:val="18"/>
            <w:u w:val="single" w:color="auto"/>
            <w:color w:val="0000FF"/>
          </w:rPr>
          <w:t>Third Amendment, dated December 19, 2018, to the Newell Rubbermaid Inc. 2008 Deferred Compensation Plan, as amended (incorporated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by reference to Exhibit 10.3 to the Company’s Report on Form 10-K for the year ended December 31, 2018,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20" w:hanging="717"/>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65">
        <w:r>
          <w:rPr>
            <w:rFonts w:ascii="Times New Roman" w:cs="Times New Roman" w:eastAsia="Times New Roman" w:hAnsi="Times New Roman"/>
            <w:sz w:val="18"/>
            <w:szCs w:val="18"/>
            <w:u w:val="single" w:color="auto"/>
            <w:color w:val="0000FF"/>
          </w:rPr>
          <w:t>Amendment, dated December 19, 2018, to the Newell Rubbermaid Inc. 2008 Deferred Compensation Plan (incorporated by reference to</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Exhibit 10.2 to the Company’s Report on Form 10-K for the year ended December 31, 2018, File No. 001-09608).</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6" w:name="page97"/>
    <w:bookmarkEnd w:id="96"/>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67">
        <w:r>
          <w:rPr>
            <w:rFonts w:ascii="Times New Roman" w:cs="Times New Roman" w:eastAsia="Times New Roman" w:hAnsi="Times New Roman"/>
            <w:sz w:val="18"/>
            <w:szCs w:val="18"/>
            <w:u w:val="single" w:color="auto"/>
            <w:color w:val="0000FF"/>
          </w:rPr>
          <w:t>Fifth Amendment, dated August 10, 2022, to the Newell Rubbermaid Inc. 2008 Deferred Compensation Plan (incorporated by reference to</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Exhibit 10.4 to the Company’s Quarterly Report on Form 10-Q for the quarterly period ended September 30, 2022,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5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69">
        <w:r>
          <w:rPr>
            <w:rFonts w:ascii="Times New Roman" w:cs="Times New Roman" w:eastAsia="Times New Roman" w:hAnsi="Times New Roman"/>
            <w:sz w:val="18"/>
            <w:szCs w:val="18"/>
            <w:u w:val="single" w:color="auto"/>
            <w:color w:val="0000FF"/>
          </w:rPr>
          <w:t>Newell Rubbermaid Deferred Compensation Plans Trust Agreement, effective as of June 1, 2013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the Company’s Quarterly Report on Form 10-Q for the quarterly period ended June 30, 2013, File No. 001-09608).</w:t>
        </w:r>
      </w:hyperlink>
    </w:p>
    <w:p>
      <w:pPr>
        <w:spacing w:after="0" w:line="10" w:lineRule="exact"/>
        <w:rPr>
          <w:sz w:val="20"/>
          <w:szCs w:val="20"/>
          <w:color w:val="auto"/>
        </w:rPr>
      </w:pP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70">
        <w:r>
          <w:rPr>
            <w:rFonts w:ascii="Times New Roman" w:cs="Times New Roman" w:eastAsia="Times New Roman" w:hAnsi="Times New Roman"/>
            <w:sz w:val="18"/>
            <w:szCs w:val="18"/>
            <w:u w:val="single" w:color="auto"/>
            <w:color w:val="0000FF"/>
          </w:rPr>
          <w:t>Newell Rubbermaid Inc. Supplemental Executive Retirement Plan, effective January 1, 2008 (incorporated by reference to Exhibit 10.7 to the</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Company’s Report on Form 10-K for the year ended December 31, 2007,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72">
        <w:r>
          <w:rPr>
            <w:rFonts w:ascii="Times New Roman" w:cs="Times New Roman" w:eastAsia="Times New Roman" w:hAnsi="Times New Roman"/>
            <w:sz w:val="18"/>
            <w:szCs w:val="18"/>
            <w:u w:val="single" w:color="auto"/>
            <w:color w:val="0000FF"/>
          </w:rPr>
          <w:t>First Amendment, dated August 5, 2013, to the Newell Rubbermaid Supplemental Executive Retirement Plan, effective January 1, 2008</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FF"/>
          </w:rPr>
          <w:t>(incorporated by reference to Exhibit 10.6 to the Company’s Quarterly Report on Form 10-Q for the quarterly period ended June 30, 2013,</w:t>
        </w:r>
      </w:hyperlink>
    </w:p>
    <w:p>
      <w:pPr>
        <w:spacing w:after="0" w:line="2"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4445</wp:posOffset>
            </wp:positionV>
            <wp:extent cx="7132320" cy="377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74">
        <w:r>
          <w:rPr>
            <w:rFonts w:ascii="Times New Roman" w:cs="Times New Roman" w:eastAsia="Times New Roman" w:hAnsi="Times New Roman"/>
            <w:sz w:val="18"/>
            <w:szCs w:val="18"/>
            <w:u w:val="single" w:color="auto"/>
            <w:color w:val="0000FF"/>
          </w:rPr>
          <w:t>Amendment, dated October 30, 2018, to the Newell Rubbermaid Supplemental Executive Retirement Plan, effective January 1, 2008</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(incorporated by reference to Exhibit 10.8 to the Company’s Annual Report on Form 10-K for the fiscal year ended December 31, 2018, File</w:t>
        </w:r>
      </w:hyperlink>
    </w:p>
    <w:p>
      <w:pPr>
        <w:ind w:left="780"/>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No. 001-09608).</w:t>
        </w:r>
      </w:hyperlink>
    </w:p>
    <w:p>
      <w:pPr>
        <w:spacing w:after="0" w:line="7" w:lineRule="exact"/>
        <w:rPr>
          <w:sz w:val="20"/>
          <w:szCs w:val="20"/>
          <w:color w:val="auto"/>
        </w:rPr>
      </w:pPr>
    </w:p>
    <w:p>
      <w:pPr>
        <w:ind w:left="780" w:hanging="717"/>
        <w:spacing w:after="0" w:line="234"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75">
        <w:r>
          <w:rPr>
            <w:rFonts w:ascii="Times New Roman" w:cs="Times New Roman" w:eastAsia="Times New Roman" w:hAnsi="Times New Roman"/>
            <w:sz w:val="18"/>
            <w:szCs w:val="18"/>
            <w:u w:val="single" w:color="auto"/>
            <w:color w:val="0000FF"/>
          </w:rPr>
          <w:t>Newell Brands Employee Savings Plan, as amended and restated, effective January 1, 2018 (incorporated by reference to Exhibit 10.17 to the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Company’s Report on Form 10-K for the year ended December 31, 2018, File No. 001-09608).</w:t>
        </w:r>
      </w:hyperlink>
    </w:p>
    <w:p>
      <w:pPr>
        <w:spacing w:after="0" w:line="10" w:lineRule="exact"/>
        <w:rPr>
          <w:sz w:val="20"/>
          <w:szCs w:val="20"/>
          <w:color w:val="auto"/>
        </w:rPr>
      </w:pPr>
    </w:p>
    <w:p>
      <w:pPr>
        <w:jc w:val="center"/>
        <w:ind w:left="520" w:right="2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76">
        <w:r>
          <w:rPr>
            <w:rFonts w:ascii="Times New Roman" w:cs="Times New Roman" w:eastAsia="Times New Roman" w:hAnsi="Times New Roman"/>
            <w:sz w:val="18"/>
            <w:szCs w:val="18"/>
            <w:u w:val="single" w:color="auto"/>
            <w:color w:val="0000FF"/>
          </w:rPr>
          <w:t>Amendment No. 1, effective January 1, 2019, to the Newell Brands Employee Savings Plan, effective January 1, 2018 (incorporated by</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reference to Exhibit 10.2 to the Company’s Report on Form 10-Q for the quarterly period ended June 30, 2020,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6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jc w:val="right"/>
        <w:ind w:left="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178">
        <w:r>
          <w:rPr>
            <w:rFonts w:ascii="Times New Roman" w:cs="Times New Roman" w:eastAsia="Times New Roman" w:hAnsi="Times New Roman"/>
            <w:sz w:val="18"/>
            <w:szCs w:val="18"/>
            <w:u w:val="single" w:color="auto"/>
            <w:color w:val="0000FF"/>
          </w:rPr>
          <w:t>Amendment No. 2, dated December 30, 2021, to the Newell Brands Employee Savings Plan, effective January 1, 2018 (incorporated by</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reference to Exhibit 10.9 of the Company’s Quarterly Report Form 10-Q for the quarterly period ended March 31, 2022, File No. 001-09608).</w:t>
        </w:r>
      </w:hyperlink>
    </w:p>
    <w:p>
      <w:pPr>
        <w:spacing w:after="0" w:line="10" w:lineRule="exact"/>
        <w:rPr>
          <w:sz w:val="20"/>
          <w:szCs w:val="20"/>
          <w:color w:val="auto"/>
        </w:rPr>
      </w:pPr>
    </w:p>
    <w:p>
      <w:pPr>
        <w:ind w:left="780" w:right="2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79">
        <w:r>
          <w:rPr>
            <w:rFonts w:ascii="Times New Roman" w:cs="Times New Roman" w:eastAsia="Times New Roman" w:hAnsi="Times New Roman"/>
            <w:sz w:val="18"/>
            <w:szCs w:val="18"/>
            <w:u w:val="single" w:color="auto"/>
            <w:color w:val="0000FF"/>
          </w:rPr>
          <w:t>Amendment No. 3, dated June 7, 2022, to the Newell Brands Employee Savings Plan, effective January 1, 2018 (incorporated by reference to</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Exhibit 10.4 of the Company’s Quarterly Report Form 10-Q for the quarterly period ended June 30, 2022,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81">
        <w:r>
          <w:rPr>
            <w:rFonts w:ascii="Times New Roman" w:cs="Times New Roman" w:eastAsia="Times New Roman" w:hAnsi="Times New Roman"/>
            <w:sz w:val="18"/>
            <w:szCs w:val="18"/>
            <w:u w:val="single" w:color="auto"/>
            <w:color w:val="0000FF"/>
          </w:rPr>
          <w:t>Amendment No. 4, dated December 27, 2022, to the Newell Brands Employee Savings Plan, effective January 1, 2018 (incorporated by</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reference to Exhibit 10.30 to the Company’s Annual Report on Form 10-K for the year ended December 31, 2022, File No. 001-09608).</w:t>
        </w:r>
      </w:hyperlink>
    </w:p>
    <w:p>
      <w:pPr>
        <w:spacing w:after="0" w:line="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7"/>
          <w:szCs w:val="17"/>
          <w:u w:val="single" w:color="auto"/>
          <w:color w:val="0000FF"/>
        </w:rPr>
        <w:t>Amendment, effective January 1, 2024, to the Newell Brands Employee Savings Plan, effective January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-127635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7"/>
          <w:szCs w:val="17"/>
          <w:u w:val="single" w:color="auto"/>
          <w:color w:val="0000FF"/>
        </w:rPr>
        <w:t>Amendment No. 6, dated December 30, 2024, to the Newell Brands Employee Savings Plan, effective January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265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780" w:hanging="717"/>
        <w:spacing w:after="0" w:line="234"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84">
        <w:r>
          <w:rPr>
            <w:rFonts w:ascii="Times New Roman" w:cs="Times New Roman" w:eastAsia="Times New Roman" w:hAnsi="Times New Roman"/>
            <w:sz w:val="18"/>
            <w:szCs w:val="18"/>
            <w:u w:val="single" w:color="auto"/>
            <w:color w:val="0000FF"/>
          </w:rPr>
          <w:t>Newell Brands Supplemental Employee Savings Plan, effective January 1, 2018 (incorporated by reference to Exhibit 10.7 to the Company’s</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Annual Report on Form 10-K for the year ended December 31, 2017, File No. 001-09608).</w:t>
        </w:r>
      </w:hyperlink>
    </w:p>
    <w:p>
      <w:pPr>
        <w:spacing w:after="0" w:line="10" w:lineRule="exact"/>
        <w:rPr>
          <w:sz w:val="20"/>
          <w:szCs w:val="20"/>
          <w:color w:val="auto"/>
        </w:rPr>
      </w:pP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85">
        <w:r>
          <w:rPr>
            <w:rFonts w:ascii="Times New Roman" w:cs="Times New Roman" w:eastAsia="Times New Roman" w:hAnsi="Times New Roman"/>
            <w:sz w:val="18"/>
            <w:szCs w:val="18"/>
            <w:u w:val="single" w:color="auto"/>
            <w:color w:val="0000FF"/>
          </w:rPr>
          <w:t>Amendment, dated October 30, 2018, to the Newell Brands Supplemental Employee Savings Plan, effective January 1, 2018 (incorporated by</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reference to Exhibit 10.12 to the Company’s Annual Report on Form 10-K for the year ended December 31, 2018, File No. 001-09608).</w:t>
        </w:r>
      </w:hyperlink>
    </w:p>
    <w:p>
      <w:pPr>
        <w:spacing w:after="0" w:line="10"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10.32*   </w:t>
      </w:r>
      <w:hyperlink r:id="rId186">
        <w:r>
          <w:rPr>
            <w:rFonts w:ascii="Times New Roman" w:cs="Times New Roman" w:eastAsia="Times New Roman" w:hAnsi="Times New Roman"/>
            <w:sz w:val="18"/>
            <w:szCs w:val="18"/>
            <w:u w:val="single" w:color="auto"/>
            <w:color w:val="0000FF"/>
          </w:rPr>
          <w:t>Amendment No. 2, dated June 7, 2022, to the Newell Brands Supplemental Employee Savings Plan, effective January 1, 2018 (incorporated</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by reference to Exhibit 10.3 of the Company’s Quarterly Report Form 10-Q for the quarterly period ended June 30, 2022, File No. 001-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-239395</wp:posOffset>
            </wp:positionV>
            <wp:extent cx="7132320"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78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09608).</w:t>
        </w:r>
      </w:hyperlink>
    </w:p>
    <w:p>
      <w:pPr>
        <w:ind w:left="60"/>
        <w:spacing w:after="0" w:line="229"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88">
        <w:r>
          <w:rPr>
            <w:rFonts w:ascii="Times New Roman" w:cs="Times New Roman" w:eastAsia="Times New Roman" w:hAnsi="Times New Roman"/>
            <w:sz w:val="18"/>
            <w:szCs w:val="18"/>
            <w:u w:val="single" w:color="auto"/>
            <w:color w:val="0000FF"/>
          </w:rPr>
          <w:t>Newell Rubbermaid Inc. 2013 Incentive Plan (incorporated by reference to Appendix B to the Company’s Proxy Statement dated March 28,</w:t>
        </w:r>
      </w:hyperlink>
    </w:p>
    <w:p>
      <w:pPr>
        <w:spacing w:after="0" w:line="1"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2013, File No. 001-09608).</w:t>
        </w:r>
      </w:hyperlink>
    </w:p>
    <w:p>
      <w:pPr>
        <w:spacing w:after="0" w:line="5" w:lineRule="exact"/>
        <w:rPr>
          <w:sz w:val="20"/>
          <w:szCs w:val="20"/>
          <w:color w:val="auto"/>
        </w:rPr>
      </w:pPr>
    </w:p>
    <w:p>
      <w:pPr>
        <w:ind w:left="60"/>
        <w:spacing w:after="0"/>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89">
        <w:r>
          <w:rPr>
            <w:rFonts w:ascii="Times New Roman" w:cs="Times New Roman" w:eastAsia="Times New Roman" w:hAnsi="Times New Roman"/>
            <w:sz w:val="18"/>
            <w:szCs w:val="18"/>
            <w:u w:val="single" w:color="auto"/>
            <w:color w:val="0000FF"/>
          </w:rPr>
          <w:t>First Amendment, dated as of February 14, 2018, to the Newell Rubbermaid Inc. 2013 Incentive Plan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-120650</wp:posOffset>
            </wp:positionV>
            <wp:extent cx="7132320" cy="265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80"/>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10.4 to the Company’s Quarterly Report on Form 10-Q for the quarterly period ended March 31, 2018, File No. 001-09608).</w:t>
        </w:r>
      </w:hyperlink>
    </w:p>
    <w:p>
      <w:pPr>
        <w:spacing w:after="0" w:line="5" w:lineRule="exact"/>
        <w:rPr>
          <w:sz w:val="20"/>
          <w:szCs w:val="20"/>
          <w:color w:val="auto"/>
        </w:rPr>
      </w:pPr>
    </w:p>
    <w:p>
      <w:pPr>
        <w:ind w:left="60"/>
        <w:spacing w:after="0"/>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91">
        <w:r>
          <w:rPr>
            <w:rFonts w:ascii="Times New Roman" w:cs="Times New Roman" w:eastAsia="Times New Roman" w:hAnsi="Times New Roman"/>
            <w:sz w:val="18"/>
            <w:szCs w:val="18"/>
            <w:u w:val="single" w:color="auto"/>
            <w:color w:val="0000FF"/>
          </w:rPr>
          <w:t>Second Amendment, effective as of July 26, 2019, to the Newell Rubbermaid Inc. 2013 Incentive Plan (incorporated by reference to Exhibit</w:t>
        </w:r>
      </w:hyperlink>
    </w:p>
    <w:p>
      <w:pPr>
        <w:ind w:left="78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10.1 to the Company’s Quarterly Report on Form 10-Q for the quarterly period ended September 30, 2019, File No. 001-09608).</w:t>
        </w:r>
      </w:hyperlink>
    </w:p>
    <w:p>
      <w:pPr>
        <w:spacing w:after="0" w:line="16"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10.36*   </w:t>
      </w:r>
      <w:hyperlink r:id="rId192">
        <w:r>
          <w:rPr>
            <w:rFonts w:ascii="Times New Roman" w:cs="Times New Roman" w:eastAsia="Times New Roman" w:hAnsi="Times New Roman"/>
            <w:sz w:val="18"/>
            <w:szCs w:val="18"/>
            <w:u w:val="single" w:color="auto"/>
            <w:color w:val="0000FF"/>
          </w:rPr>
          <w:t>Form of 2020 Non-Qualified Stock Option Agreement under the Newell Rubbermaid Inc. 2013 Incentive Plan, as amended, for Awards to</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Employees (Management Committee) (incorporated by reference to Exhibit 10.4 to the Company’s Quarterly Report on Form 10-Q for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-239395</wp:posOffset>
            </wp:positionV>
            <wp:extent cx="7132320"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78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quarterly period ended March 31, 2020, File No. 001-09608).</w:t>
        </w:r>
      </w:hyperlink>
    </w:p>
    <w:p>
      <w:pPr>
        <w:spacing w:after="0" w:line="7" w:lineRule="exact"/>
        <w:rPr>
          <w:sz w:val="20"/>
          <w:szCs w:val="20"/>
          <w:color w:val="auto"/>
        </w:rPr>
      </w:pP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10.37*   </w:t>
      </w:r>
      <w:hyperlink r:id="rId194">
        <w:r>
          <w:rPr>
            <w:rFonts w:ascii="Times New Roman" w:cs="Times New Roman" w:eastAsia="Times New Roman" w:hAnsi="Times New Roman"/>
            <w:sz w:val="18"/>
            <w:szCs w:val="18"/>
            <w:u w:val="single" w:color="auto"/>
            <w:color w:val="0000FF"/>
          </w:rPr>
          <w:t>Form of 2020 Non-Qualified Stock Option Agreement under the Newell Rubbermaid Inc. 2013 Incentive Plan, as amended, for Awards to the</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Chief Executive Officer (incorporated by reference to Exhibit 10.5 to the Company’s Quarterly Report on Form 10-Q for the quarterly period</w:t>
        </w:r>
      </w:hyperlink>
    </w:p>
    <w:p>
      <w:pPr>
        <w:ind w:left="78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ended March 31, 2020,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4445</wp:posOffset>
            </wp:positionV>
            <wp:extent cx="7132320" cy="377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10.38*   </w:t>
      </w:r>
      <w:hyperlink r:id="rId196">
        <w:r>
          <w:rPr>
            <w:rFonts w:ascii="Times New Roman" w:cs="Times New Roman" w:eastAsia="Times New Roman" w:hAnsi="Times New Roman"/>
            <w:sz w:val="18"/>
            <w:szCs w:val="18"/>
            <w:u w:val="single" w:color="auto"/>
            <w:color w:val="0000FF"/>
          </w:rPr>
          <w:t>Form of 2020 Non-Qualified Stock Option Agreement under the Newell Rubbermaid Inc. 2013 Incentive Plan, as amended, for Awards to the</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Chief Financial Officer (incorporated by reference to Exhibit 10.6 to the Company’s Quarterly Report on Form 10-Q for the quarterly period</w:t>
        </w:r>
      </w:hyperlink>
    </w:p>
    <w:p>
      <w:pPr>
        <w:ind w:left="78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ended March 31, 2020, File No. 001-09608).</w:t>
        </w:r>
      </w:hyperlink>
    </w:p>
    <w:p>
      <w:pPr>
        <w:spacing w:after="0" w:line="7" w:lineRule="exact"/>
        <w:rPr>
          <w:sz w:val="20"/>
          <w:szCs w:val="20"/>
          <w:color w:val="auto"/>
        </w:rPr>
      </w:pPr>
    </w:p>
    <w:p>
      <w:pPr>
        <w:ind w:left="780" w:hanging="717"/>
        <w:spacing w:after="0" w:line="234"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97">
        <w:r>
          <w:rPr>
            <w:rFonts w:ascii="Times New Roman" w:cs="Times New Roman" w:eastAsia="Times New Roman" w:hAnsi="Times New Roman"/>
            <w:sz w:val="18"/>
            <w:szCs w:val="18"/>
            <w:u w:val="single" w:color="auto"/>
            <w:color w:val="0000FF"/>
          </w:rPr>
          <w:t>Newell Brands Inc. 2023 Long Term Incentive Plan Terms and Conditions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Current Report on Form 8-K dated February 10, 2023, File No. 001-09608).</w:t>
        </w:r>
      </w:hyperlink>
    </w:p>
    <w:p>
      <w:pPr>
        <w:spacing w:after="0" w:line="10" w:lineRule="exact"/>
        <w:rPr>
          <w:sz w:val="20"/>
          <w:szCs w:val="20"/>
          <w:color w:val="auto"/>
        </w:rPr>
      </w:pP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98">
        <w:r>
          <w:rPr>
            <w:rFonts w:ascii="Times New Roman" w:cs="Times New Roman" w:eastAsia="Times New Roman" w:hAnsi="Times New Roman"/>
            <w:sz w:val="18"/>
            <w:szCs w:val="18"/>
            <w:u w:val="single" w:color="auto"/>
            <w:color w:val="0000FF"/>
          </w:rPr>
          <w:t>Newell Brands Inc. 2024 Long-Term Incentive Plan Terms and Conditions (incorporated by reference to Exhibit 10.1 of the Current Report on</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Form 8-K dated February 22, 2024,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6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10.41*   </w:t>
      </w:r>
      <w:hyperlink r:id="rId200">
        <w:r>
          <w:rPr>
            <w:rFonts w:ascii="Times New Roman" w:cs="Times New Roman" w:eastAsia="Times New Roman" w:hAnsi="Times New Roman"/>
            <w:sz w:val="18"/>
            <w:szCs w:val="18"/>
            <w:u w:val="single" w:color="auto"/>
            <w:color w:val="0000FF"/>
          </w:rPr>
          <w:t>Form of 2023 Restricted Stock Unit Award Agreement under the Newell Brands Inc. 2022 Incentive Plan for Executives (incorporated by</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FF"/>
          </w:rPr>
          <w:t>reference to Exhibit 10.6 to the Company’s Quarterly Report on Form 10-Q for the quarterly period ended March 31, 2023, File No. 001-</w:t>
        </w:r>
      </w:hyperlink>
    </w:p>
    <w:p>
      <w:pPr>
        <w:spacing w:after="0" w:line="2"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09608).</w:t>
        </w:r>
      </w:hyperlink>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891" w:right="359" w:bottom="1440" w:gutter="0" w:footer="0" w:header="0"/>
        </w:sectPr>
      </w:pPr>
    </w:p>
    <w:bookmarkStart w:id="97" w:name="page98"/>
    <w:bookmarkEnd w:id="97"/>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10.42*   </w:t>
      </w:r>
      <w:hyperlink r:id="rId202">
        <w:r>
          <w:rPr>
            <w:rFonts w:ascii="Times New Roman" w:cs="Times New Roman" w:eastAsia="Times New Roman" w:hAnsi="Times New Roman"/>
            <w:sz w:val="18"/>
            <w:szCs w:val="18"/>
            <w:u w:val="single" w:color="auto"/>
            <w:color w:val="0000FF"/>
          </w:rPr>
          <w:t>Form of 2023 Restricted Stock Unit Award Agreement under the Newell Brands Inc. 2022 Incentive Plan for the Chief Executive Officer</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0000FF"/>
          </w:rPr>
          <w:t>(incorporated by reference to Exhibit 10.7 to the Company’s Quarterly Report on Form 10-Q for the quarterly period ended March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-239395</wp:posOffset>
            </wp:positionV>
            <wp:extent cx="7132320" cy="377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780"/>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File No. 001-09608).</w:t>
        </w:r>
      </w:hyperlink>
    </w:p>
    <w:p>
      <w:pPr>
        <w:spacing w:after="0" w:line="7" w:lineRule="exact"/>
        <w:rPr>
          <w:sz w:val="20"/>
          <w:szCs w:val="20"/>
          <w:color w:val="auto"/>
        </w:rPr>
      </w:pP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10.43*   </w:t>
      </w:r>
      <w:hyperlink r:id="rId204">
        <w:r>
          <w:rPr>
            <w:rFonts w:ascii="Times New Roman" w:cs="Times New Roman" w:eastAsia="Times New Roman" w:hAnsi="Times New Roman"/>
            <w:sz w:val="18"/>
            <w:szCs w:val="18"/>
            <w:u w:val="single" w:color="auto"/>
            <w:color w:val="0000FF"/>
          </w:rPr>
          <w:t>Form of 2023 Restricted Stock Unit Award Agreement under the Newell Brands Inc. 2022 Incentive Plan for the President (incorporated by</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FF"/>
          </w:rPr>
          <w:t>reference to Exhibit 10.8 to the Company’s Quarterly Report on Form 10-Q for the quarterly period ended March 31, 2023, File No. 001-</w:t>
        </w:r>
      </w:hyperlink>
    </w:p>
    <w:p>
      <w:pPr>
        <w:ind w:left="78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4445</wp:posOffset>
            </wp:positionV>
            <wp:extent cx="7132320" cy="3771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10.44*   </w:t>
      </w:r>
      <w:hyperlink r:id="rId206">
        <w:r>
          <w:rPr>
            <w:rFonts w:ascii="Times New Roman" w:cs="Times New Roman" w:eastAsia="Times New Roman" w:hAnsi="Times New Roman"/>
            <w:sz w:val="18"/>
            <w:szCs w:val="18"/>
            <w:u w:val="single" w:color="auto"/>
            <w:color w:val="0000FF"/>
          </w:rPr>
          <w:t>Form of 2023 Non-Employee Director Restricted Stock Unit Award Agreement under the Newell Brands Inc. 2022 Incentive Plan</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FF"/>
          </w:rPr>
          <w:t>(incorporated by reference to Exhibit 10.6 to the Company’s Quarterly Report on Form 10-Q for the quarterly period ended June 30, 2023,</w:t>
        </w:r>
      </w:hyperlink>
    </w:p>
    <w:p>
      <w:pPr>
        <w:ind w:left="780"/>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File No. 001-09608).</w:t>
        </w:r>
      </w:hyperlink>
    </w:p>
    <w:p>
      <w:pPr>
        <w:spacing w:after="0" w:line="7" w:lineRule="exact"/>
        <w:rPr>
          <w:sz w:val="20"/>
          <w:szCs w:val="20"/>
          <w:color w:val="auto"/>
        </w:rPr>
      </w:pP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10.45*   </w:t>
      </w:r>
      <w:hyperlink r:id="rId207">
        <w:r>
          <w:rPr>
            <w:rFonts w:ascii="Times New Roman" w:cs="Times New Roman" w:eastAsia="Times New Roman" w:hAnsi="Times New Roman"/>
            <w:sz w:val="18"/>
            <w:szCs w:val="18"/>
            <w:u w:val="single" w:color="auto"/>
            <w:color w:val="0000FF"/>
          </w:rPr>
          <w:t>Form of 2024 Restricted Stock Unit Award Agreement under the Newell Brands Inc. 2022 Incentive Plan for the Chief Executive Officer</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0000FF"/>
          </w:rPr>
          <w:t>(incorporated by reference to Exhibit 10.4 to the Company’s Quarterly Report on Form 10-Q for the quarterly period ending March 31, 2024,</w:t>
        </w:r>
      </w:hyperlink>
    </w:p>
    <w:p>
      <w:pPr>
        <w:ind w:left="78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4445</wp:posOffset>
            </wp:positionV>
            <wp:extent cx="7132320" cy="3771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10.46*   </w:t>
      </w:r>
      <w:hyperlink r:id="rId209">
        <w:r>
          <w:rPr>
            <w:rFonts w:ascii="Times New Roman" w:cs="Times New Roman" w:eastAsia="Times New Roman" w:hAnsi="Times New Roman"/>
            <w:sz w:val="18"/>
            <w:szCs w:val="18"/>
            <w:u w:val="single" w:color="auto"/>
            <w:color w:val="0000FF"/>
          </w:rPr>
          <w:t>Form of 2024 Restricted Stock Unit Award Agreement under the Newell Brands Inc. 2022 Incentive Plan for Executives (incorporated by</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FF"/>
          </w:rPr>
          <w:t>reference to Exhibit 10.3 to the Company’s Quarterly Report on Form 10-Q for the quarterly period ending March 31, 2024, File No. 001-</w:t>
        </w:r>
      </w:hyperlink>
    </w:p>
    <w:p>
      <w:pPr>
        <w:ind w:left="780"/>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09608).</w:t>
        </w:r>
      </w:hyperlink>
    </w:p>
    <w:p>
      <w:pPr>
        <w:spacing w:after="0" w:line="7" w:lineRule="exact"/>
        <w:rPr>
          <w:sz w:val="20"/>
          <w:szCs w:val="20"/>
          <w:color w:val="auto"/>
        </w:rPr>
      </w:pP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10.47*   </w:t>
      </w:r>
      <w:hyperlink r:id="rId210">
        <w:r>
          <w:rPr>
            <w:rFonts w:ascii="Times New Roman" w:cs="Times New Roman" w:eastAsia="Times New Roman" w:hAnsi="Times New Roman"/>
            <w:sz w:val="18"/>
            <w:szCs w:val="18"/>
            <w:u w:val="single" w:color="auto"/>
            <w:color w:val="0000FF"/>
          </w:rPr>
          <w:t>Form of Restricted Stock Unit Award Agreement under the Newell Brands Inc. 2023 Incentive Plan for Non-Employee Directors</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0000FF"/>
          </w:rPr>
          <w:t>(incorporated by reference to Exhibit 10.2 to the Company’s Quarterly Report on Form 10-Q for the quarter period ending June 30, 2024, File</w:t>
        </w:r>
      </w:hyperlink>
    </w:p>
    <w:p>
      <w:pPr>
        <w:ind w:left="78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4445</wp:posOffset>
            </wp:positionV>
            <wp:extent cx="7132320" cy="3771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10.48*   </w:t>
      </w:r>
      <w:hyperlink r:id="rId212">
        <w:r>
          <w:rPr>
            <w:rFonts w:ascii="Times New Roman" w:cs="Times New Roman" w:eastAsia="Times New Roman" w:hAnsi="Times New Roman"/>
            <w:sz w:val="18"/>
            <w:szCs w:val="18"/>
            <w:u w:val="single" w:color="auto"/>
            <w:color w:val="0000FF"/>
          </w:rPr>
          <w:t>Form of Non-Qualified Stock Option Agreement under the Newell Brands Inc. 2022 Incentive Plan for the Chief Financial Officer</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0000FF"/>
          </w:rPr>
          <w:t>(incorporated by reference to Exhibit 10.9 to the Company’s Quarterly Report on Form 10-Q for the quarterly period ended March 31, 2023,</w:t>
        </w:r>
      </w:hyperlink>
    </w:p>
    <w:p>
      <w:pPr>
        <w:ind w:left="780"/>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File No. 001-09608).</w:t>
        </w:r>
      </w:hyperlink>
    </w:p>
    <w:p>
      <w:pPr>
        <w:ind w:left="60"/>
        <w:spacing w:after="0" w:line="229"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10.49*</w:t>
      </w:r>
      <w:r>
        <w:rPr>
          <w:sz w:val="20"/>
          <w:szCs w:val="20"/>
          <w:color w:val="auto"/>
        </w:rPr>
        <w:tab/>
      </w:r>
      <w:hyperlink r:id="rId213">
        <w:r>
          <w:rPr>
            <w:rFonts w:ascii="Times New Roman" w:cs="Times New Roman" w:eastAsia="Times New Roman" w:hAnsi="Times New Roman"/>
            <w:sz w:val="18"/>
            <w:szCs w:val="18"/>
            <w:u w:val="single" w:color="auto"/>
            <w:color w:val="0000FF"/>
          </w:rPr>
          <w:t>Form of 2023 Non-Employee Director Stock Option Agreement under the Newell Brands Inc. 2022 Incentive Plan (incorporated by reference</w:t>
        </w:r>
      </w:hyperlink>
    </w:p>
    <w:p>
      <w:pPr>
        <w:spacing w:after="0" w:line="1" w:lineRule="exact"/>
        <w:rPr>
          <w:sz w:val="20"/>
          <w:szCs w:val="20"/>
          <w:color w:val="auto"/>
        </w:rPr>
      </w:pPr>
    </w:p>
    <w:p>
      <w:pPr>
        <w:jc w:val="center"/>
        <w:ind w:right="-59"/>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to Exhibit 10.5 to the Company’s Quarterly Report on Form 10-Q for the quarterly period ended June 30, 2023, File No. 001-09608).</w:t>
        </w:r>
      </w:hyperlink>
    </w:p>
    <w:p>
      <w:pPr>
        <w:spacing w:after="0" w:line="16" w:lineRule="exact"/>
        <w:rPr>
          <w:sz w:val="20"/>
          <w:szCs w:val="20"/>
          <w:color w:val="auto"/>
        </w:rPr>
      </w:pPr>
    </w:p>
    <w:p>
      <w:pPr>
        <w:jc w:val="right"/>
        <w:ind w:left="60" w:righ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10.50*   </w:t>
      </w:r>
      <w:hyperlink r:id="rId214">
        <w:r>
          <w:rPr>
            <w:rFonts w:ascii="Times New Roman" w:cs="Times New Roman" w:eastAsia="Times New Roman" w:hAnsi="Times New Roman"/>
            <w:sz w:val="18"/>
            <w:szCs w:val="18"/>
            <w:u w:val="single" w:color="auto"/>
            <w:color w:val="0000FF"/>
          </w:rPr>
          <w:t>Form of Employment Security Agreement between the Company and Bradford R. Turner and Christopher H. Peterson, respectively</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u w:val="single" w:color="auto"/>
            <w:color w:val="0000FF"/>
          </w:rPr>
          <w:t>(incorporated by reference to Exhibit 10.39 to the Company’s Annual Report on Form 10-K for the year ended December 31, 2014, File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-239395</wp:posOffset>
            </wp:positionV>
            <wp:extent cx="7132320"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78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001-09608).</w:t>
        </w:r>
      </w:hyperlink>
    </w:p>
    <w:p>
      <w:pPr>
        <w:spacing w:after="0" w:line="7" w:lineRule="exact"/>
        <w:rPr>
          <w:sz w:val="20"/>
          <w:szCs w:val="20"/>
          <w:color w:val="auto"/>
        </w:rPr>
      </w:pPr>
    </w:p>
    <w:p>
      <w:pPr>
        <w:ind w:left="780" w:hanging="717"/>
        <w:spacing w:after="0" w:line="234"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w:t>
      </w:r>
      <w:r>
        <w:rPr>
          <w:sz w:val="20"/>
          <w:szCs w:val="20"/>
          <w:color w:val="auto"/>
        </w:rPr>
        <w:tab/>
      </w:r>
      <w:hyperlink r:id="rId216">
        <w:r>
          <w:rPr>
            <w:rFonts w:ascii="Times New Roman" w:cs="Times New Roman" w:eastAsia="Times New Roman" w:hAnsi="Times New Roman"/>
            <w:sz w:val="18"/>
            <w:szCs w:val="18"/>
            <w:u w:val="single" w:color="auto"/>
            <w:color w:val="0000FF"/>
          </w:rPr>
          <w:t>Form of Waiver and Termination Agreement between Newell Brands Inc. and Executives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Company’s Quarterly Report on Form 10-Q for the quarterly period ended June 30, 2020, File No. 001-09608).</w:t>
        </w:r>
      </w:hyperlink>
    </w:p>
    <w:p>
      <w:pPr>
        <w:spacing w:after="0" w:line="10" w:lineRule="exact"/>
        <w:rPr>
          <w:sz w:val="20"/>
          <w:szCs w:val="20"/>
          <w:color w:val="auto"/>
        </w:rPr>
      </w:pP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217">
        <w:r>
          <w:rPr>
            <w:rFonts w:ascii="Times New Roman" w:cs="Times New Roman" w:eastAsia="Times New Roman" w:hAnsi="Times New Roman"/>
            <w:sz w:val="18"/>
            <w:szCs w:val="18"/>
            <w:u w:val="single" w:color="auto"/>
            <w:color w:val="0000FF"/>
          </w:rPr>
          <w:t>Compensation Arrangement with Christopher H. Peterson, dated November 21, 2018 (incorporated by reference to Exhibit 10.61 to the</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Company’s Annual Report on Form 10-K for the year ended December 31, 2018,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10.53*   </w:t>
      </w:r>
      <w:hyperlink r:id="rId219">
        <w:r>
          <w:rPr>
            <w:rFonts w:ascii="Times New Roman" w:cs="Times New Roman" w:eastAsia="Times New Roman" w:hAnsi="Times New Roman"/>
            <w:sz w:val="18"/>
            <w:szCs w:val="18"/>
            <w:u w:val="single" w:color="auto"/>
            <w:color w:val="0000FF"/>
          </w:rPr>
          <w:t>Letter Agreement, dated February 9, 2022, between the Company and Christopher H. Peterson regarding Participation in the Executive</w:t>
        </w:r>
      </w:hyperlink>
      <w:r>
        <w:rPr>
          <w:rFonts w:ascii="Times New Roman" w:cs="Times New Roman" w:eastAsia="Times New Roman" w:hAnsi="Times New Roman"/>
          <w:sz w:val="18"/>
          <w:szCs w:val="18"/>
          <w:color w:val="auto"/>
        </w:rPr>
        <w:t xml:space="preserve"> </w:t>
      </w:r>
      <w:hyperlink r:id="rId219">
        <w:r>
          <w:rPr>
            <w:rFonts w:ascii="Times New Roman" w:cs="Times New Roman" w:eastAsia="Times New Roman" w:hAnsi="Times New Roman"/>
            <w:sz w:val="18"/>
            <w:szCs w:val="18"/>
            <w:u w:val="single" w:color="auto"/>
            <w:color w:val="0000FF"/>
          </w:rPr>
          <w:t>Severance Plan (incorporated by reference to Exhibit 10.2 to the Company's Current Report on Form 8-K dated February 11, 2022, File No.</w:t>
        </w:r>
      </w:hyperlink>
    </w:p>
    <w:p>
      <w:pPr>
        <w:spacing w:after="0" w:line="2"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4445</wp:posOffset>
            </wp:positionV>
            <wp:extent cx="7132320"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60"/>
        <w:spacing w:after="0" w:line="229"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10.54*</w:t>
      </w:r>
      <w:r>
        <w:rPr>
          <w:sz w:val="20"/>
          <w:szCs w:val="20"/>
          <w:color w:val="auto"/>
        </w:rPr>
        <w:tab/>
      </w:r>
      <w:hyperlink r:id="rId221">
        <w:r>
          <w:rPr>
            <w:rFonts w:ascii="Times New Roman" w:cs="Times New Roman" w:eastAsia="Times New Roman" w:hAnsi="Times New Roman"/>
            <w:sz w:val="18"/>
            <w:szCs w:val="18"/>
            <w:u w:val="single" w:color="auto"/>
            <w:color w:val="0000FF"/>
          </w:rPr>
          <w:t>CEO Offer Letter, dated February 9, 2023, between Newell Brands Inc. and Christopher H. Peterson (incorporated by reference to Exhibit</w:t>
        </w:r>
      </w:hyperlink>
    </w:p>
    <w:p>
      <w:pPr>
        <w:spacing w:after="0" w:line="1"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10.2 to the Company's Current Report on Form 8-K dated March 15, 2023, File No. 001-09608).</w:t>
        </w:r>
      </w:hyperlink>
    </w:p>
    <w:p>
      <w:pPr>
        <w:spacing w:after="0" w:line="5" w:lineRule="exact"/>
        <w:rPr>
          <w:sz w:val="20"/>
          <w:szCs w:val="20"/>
          <w:color w:val="auto"/>
        </w:rPr>
      </w:pPr>
    </w:p>
    <w:p>
      <w:pPr>
        <w:ind w:left="60"/>
        <w:spacing w:after="0"/>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10.55*</w:t>
      </w:r>
      <w:r>
        <w:rPr>
          <w:sz w:val="20"/>
          <w:szCs w:val="20"/>
          <w:color w:val="auto"/>
        </w:rPr>
        <w:tab/>
      </w:r>
      <w:hyperlink r:id="rId222">
        <w:r>
          <w:rPr>
            <w:rFonts w:ascii="Times New Roman" w:cs="Times New Roman" w:eastAsia="Times New Roman" w:hAnsi="Times New Roman"/>
            <w:sz w:val="18"/>
            <w:szCs w:val="18"/>
            <w:u w:val="single" w:color="auto"/>
            <w:color w:val="0000FF"/>
          </w:rPr>
          <w:t>Retirement Agreement, dated February 8, 2023, between Ravichandra K. Saligram and the Company (incorporated by reference to Exhibit</w:t>
        </w:r>
      </w:hyperlink>
    </w:p>
    <w:p>
      <w:pPr>
        <w:ind w:left="780"/>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10.1 to the Company’s Current Report on Form 8-K dated February 10, 2023, File No. 001-09608).</w:t>
        </w:r>
      </w:hyperlink>
    </w:p>
    <w:p>
      <w:pPr>
        <w:spacing w:after="0" w:line="16" w:lineRule="exact"/>
        <w:rPr>
          <w:sz w:val="20"/>
          <w:szCs w:val="20"/>
          <w:color w:val="auto"/>
        </w:rPr>
      </w:pP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10.56*</w:t>
      </w:r>
      <w:r>
        <w:rPr>
          <w:sz w:val="20"/>
          <w:szCs w:val="20"/>
          <w:color w:val="auto"/>
        </w:rPr>
        <w:tab/>
      </w:r>
      <w:hyperlink r:id="rId223">
        <w:r>
          <w:rPr>
            <w:rFonts w:ascii="Times New Roman" w:cs="Times New Roman" w:eastAsia="Times New Roman" w:hAnsi="Times New Roman"/>
            <w:sz w:val="18"/>
            <w:szCs w:val="18"/>
            <w:u w:val="single" w:color="auto"/>
            <w:color w:val="0000FF"/>
          </w:rPr>
          <w:t>CEO Non-Qualified Stock Option Agreement (incorporated by reference to Exhibit 10.2 to the Company’s Current Report on Form 8-K dated</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July 30, 2019,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10.57*</w:t>
      </w:r>
      <w:r>
        <w:rPr>
          <w:sz w:val="20"/>
          <w:szCs w:val="20"/>
          <w:color w:val="auto"/>
        </w:rPr>
        <w:tab/>
      </w:r>
      <w:hyperlink r:id="rId225">
        <w:r>
          <w:rPr>
            <w:rFonts w:ascii="Times New Roman" w:cs="Times New Roman" w:eastAsia="Times New Roman" w:hAnsi="Times New Roman"/>
            <w:sz w:val="18"/>
            <w:szCs w:val="18"/>
            <w:u w:val="single" w:color="auto"/>
            <w:color w:val="0000FF"/>
          </w:rPr>
          <w:t>Newell Brands Executive Severance Plan effective July 26, 2019 (incorporated by reference to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on Form 8-K dated July 30, 2019, File No. 001-09608).</w:t>
        </w:r>
      </w:hyperlink>
    </w:p>
    <w:p>
      <w:pPr>
        <w:spacing w:after="0" w:line="10" w:lineRule="exact"/>
        <w:rPr>
          <w:sz w:val="20"/>
          <w:szCs w:val="20"/>
          <w:color w:val="auto"/>
        </w:rPr>
      </w:pPr>
    </w:p>
    <w:p>
      <w:pPr>
        <w:ind w:left="780" w:right="2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10.58*</w:t>
      </w:r>
      <w:r>
        <w:rPr>
          <w:sz w:val="20"/>
          <w:szCs w:val="20"/>
          <w:color w:val="auto"/>
        </w:rPr>
        <w:tab/>
      </w:r>
      <w:hyperlink r:id="rId226">
        <w:r>
          <w:rPr>
            <w:rFonts w:ascii="Times New Roman" w:cs="Times New Roman" w:eastAsia="Times New Roman" w:hAnsi="Times New Roman"/>
            <w:sz w:val="18"/>
            <w:szCs w:val="18"/>
            <w:u w:val="single" w:color="auto"/>
            <w:color w:val="0000FF"/>
          </w:rPr>
          <w:t>Amendment to the Newell Brands Inc. Executive Severance Plan dated February 8, 2023 (incorporated by reference to Exhibit 10.4 to the</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Company’s Current Report on Form 8-K dated February 10, 2023,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-255905</wp:posOffset>
            </wp:positionV>
            <wp:extent cx="7132320" cy="265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80" w:hanging="717"/>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10.59*</w:t>
      </w:r>
      <w:r>
        <w:rPr>
          <w:sz w:val="20"/>
          <w:szCs w:val="20"/>
          <w:color w:val="auto"/>
        </w:rPr>
        <w:tab/>
      </w:r>
      <w:hyperlink r:id="rId228">
        <w:r>
          <w:rPr>
            <w:rFonts w:ascii="Times New Roman" w:cs="Times New Roman" w:eastAsia="Times New Roman" w:hAnsi="Times New Roman"/>
            <w:sz w:val="18"/>
            <w:szCs w:val="18"/>
            <w:u w:val="single" w:color="auto"/>
            <w:color w:val="0000FF"/>
          </w:rPr>
          <w:t>Newell Brands Inc. 2023 Special Incentive Program Terms and Conditions effective May 16, 2023 (incorporated by reference to Exhibit 10.1</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to the Company’s Current Report on Form 8-K dated May 19, 2023, File No. 001-09608).</w:t>
        </w:r>
      </w:hyperlink>
    </w:p>
    <w:p>
      <w:pPr>
        <w:spacing w:after="0" w:line="10"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10.60*   </w:t>
      </w:r>
      <w:hyperlink r:id="rId229">
        <w:r>
          <w:rPr>
            <w:rFonts w:ascii="Times New Roman" w:cs="Times New Roman" w:eastAsia="Times New Roman" w:hAnsi="Times New Roman"/>
            <w:sz w:val="18"/>
            <w:szCs w:val="18"/>
            <w:u w:val="single" w:color="auto"/>
            <w:color w:val="0000FF"/>
          </w:rPr>
          <w:t>Form of 2023 Newell Brands Special Incentive Program RSU Award for President and CEO under the Newell Brands Inc. 2022 Incentive</w:t>
        </w:r>
      </w:hyperlink>
      <w:r>
        <w:rPr>
          <w:rFonts w:ascii="Times New Roman" w:cs="Times New Roman" w:eastAsia="Times New Roman" w:hAnsi="Times New Roman"/>
          <w:sz w:val="18"/>
          <w:szCs w:val="18"/>
          <w:color w:val="auto"/>
        </w:rPr>
        <w:t xml:space="preserve"> </w:t>
      </w:r>
      <w:hyperlink r:id="rId229">
        <w:r>
          <w:rPr>
            <w:rFonts w:ascii="Times New Roman" w:cs="Times New Roman" w:eastAsia="Times New Roman" w:hAnsi="Times New Roman"/>
            <w:sz w:val="18"/>
            <w:szCs w:val="18"/>
            <w:u w:val="single" w:color="auto"/>
            <w:color w:val="0000FF"/>
          </w:rPr>
          <w:t>Plan (incorporated by reference to Exhibit 10.2 to the Company’s Quarterly Report on form 10-Q for the Quarterly Report on Form 10-Q for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-239395</wp:posOffset>
            </wp:positionV>
            <wp:extent cx="7132320" cy="377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78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the quarterly period ended June 30, 2023, File No. 001-09608).</w:t>
        </w:r>
      </w:hyperlink>
    </w:p>
    <w:p>
      <w:pPr>
        <w:spacing w:after="0" w:line="7" w:lineRule="exact"/>
        <w:rPr>
          <w:sz w:val="20"/>
          <w:szCs w:val="20"/>
          <w:color w:val="auto"/>
        </w:rPr>
      </w:pP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10.61*   </w:t>
      </w:r>
      <w:hyperlink r:id="rId231">
        <w:r>
          <w:rPr>
            <w:rFonts w:ascii="Times New Roman" w:cs="Times New Roman" w:eastAsia="Times New Roman" w:hAnsi="Times New Roman"/>
            <w:sz w:val="18"/>
            <w:szCs w:val="18"/>
            <w:u w:val="single" w:color="auto"/>
            <w:color w:val="0000FF"/>
          </w:rPr>
          <w:t>Form of 2023 Newell Brands Special Incentive Program RSU Award for CFO under the Newell Brands Inc. 2022 Incentive Plan (incorporated</w:t>
        </w:r>
      </w:hyperlink>
      <w:r>
        <w:rPr>
          <w:rFonts w:ascii="Times New Roman" w:cs="Times New Roman" w:eastAsia="Times New Roman" w:hAnsi="Times New Roman"/>
          <w:sz w:val="18"/>
          <w:szCs w:val="18"/>
          <w:color w:val="auto"/>
        </w:rPr>
        <w:t xml:space="preserve"> </w:t>
      </w:r>
      <w:hyperlink r:id="rId231">
        <w:r>
          <w:rPr>
            <w:rFonts w:ascii="Times New Roman" w:cs="Times New Roman" w:eastAsia="Times New Roman" w:hAnsi="Times New Roman"/>
            <w:sz w:val="18"/>
            <w:szCs w:val="18"/>
            <w:u w:val="single" w:color="auto"/>
            <w:color w:val="0000FF"/>
          </w:rPr>
          <w:t>by reference to Exhibit 10.3 to the Company’s Quarterly Report on form 10-Q for the Quarterly Report on Form 10-Q for the quarterly period</w:t>
        </w:r>
      </w:hyperlink>
    </w:p>
    <w:p>
      <w:pPr>
        <w:ind w:left="780"/>
        <w:spacing w:after="0"/>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ended June 30, 2023,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4445</wp:posOffset>
            </wp:positionV>
            <wp:extent cx="7132320" cy="377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left="6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10.62*   </w:t>
      </w:r>
      <w:hyperlink r:id="rId233">
        <w:r>
          <w:rPr>
            <w:rFonts w:ascii="Times New Roman" w:cs="Times New Roman" w:eastAsia="Times New Roman" w:hAnsi="Times New Roman"/>
            <w:sz w:val="18"/>
            <w:szCs w:val="18"/>
            <w:u w:val="single" w:color="auto"/>
            <w:color w:val="0000FF"/>
          </w:rPr>
          <w:t>Form of 2023 Newell Brands Special Incentive Program RSU Award for Executives under the Newell Brands Inc. 2022 Incentive Plan</w:t>
        </w:r>
      </w:hyperlink>
      <w:r>
        <w:rPr>
          <w:rFonts w:ascii="Times New Roman" w:cs="Times New Roman" w:eastAsia="Times New Roman" w:hAnsi="Times New Roman"/>
          <w:sz w:val="18"/>
          <w:szCs w:val="18"/>
          <w:color w:val="auto"/>
        </w:rPr>
        <w:t xml:space="preserve"> </w:t>
      </w:r>
      <w:hyperlink r:id="rId233">
        <w:r>
          <w:rPr>
            <w:rFonts w:ascii="Times New Roman" w:cs="Times New Roman" w:eastAsia="Times New Roman" w:hAnsi="Times New Roman"/>
            <w:sz w:val="18"/>
            <w:szCs w:val="18"/>
            <w:u w:val="single" w:color="auto"/>
            <w:color w:val="0000FF"/>
          </w:rPr>
          <w:t>(incorporated by reference to Exhibit 10.4 to the Company’s Quarterly Report on Form 10-Q for the quarterly period ended June 30, 2023,</w:t>
        </w:r>
      </w:hyperlink>
    </w:p>
    <w:p>
      <w:pPr>
        <w:ind w:left="780"/>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File No. 001-09608).</w:t>
        </w:r>
      </w:hyperlink>
    </w:p>
    <w:p>
      <w:pPr>
        <w:ind w:left="60"/>
        <w:spacing w:after="0" w:line="229"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10.63*</w:t>
      </w:r>
      <w:r>
        <w:rPr>
          <w:sz w:val="20"/>
          <w:szCs w:val="20"/>
          <w:color w:val="auto"/>
        </w:rPr>
        <w:tab/>
      </w:r>
      <w:hyperlink r:id="rId213">
        <w:r>
          <w:rPr>
            <w:rFonts w:ascii="Times New Roman" w:cs="Times New Roman" w:eastAsia="Times New Roman" w:hAnsi="Times New Roman"/>
            <w:sz w:val="18"/>
            <w:szCs w:val="18"/>
            <w:u w:val="single" w:color="auto"/>
            <w:color w:val="0000FF"/>
          </w:rPr>
          <w:t>Form of 2023 Non-Employee Director Stock Option Agreement under the Newell Brands Inc. 2022 Incentive Plan (incorporated by reference</w:t>
        </w:r>
      </w:hyperlink>
    </w:p>
    <w:p>
      <w:pPr>
        <w:spacing w:after="0" w:line="1"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to Exhibit 10.5 to the Company’s Quarterly Report on Form 10-Q for the quarterly period ended June 30, 2023, File No. 001-09608).</w:t>
        </w:r>
      </w:hyperlink>
    </w:p>
    <w:p>
      <w:pPr>
        <w:spacing w:after="0" w:line="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10.64*†</w:t>
      </w:r>
      <w:r>
        <w:rPr>
          <w:sz w:val="20"/>
          <w:szCs w:val="20"/>
          <w:color w:val="auto"/>
        </w:rPr>
        <w:tab/>
      </w:r>
      <w:r>
        <w:rPr>
          <w:rFonts w:ascii="Times New Roman" w:cs="Times New Roman" w:eastAsia="Times New Roman" w:hAnsi="Times New Roman"/>
          <w:sz w:val="17"/>
          <w:szCs w:val="17"/>
          <w:u w:val="single" w:color="auto"/>
          <w:color w:val="0000FF"/>
        </w:rPr>
        <w:t>Newell Brands Inc. Employment Security Agreements and Executive Severance Plan Trust Agreement, Effective as of 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-127635</wp:posOffset>
            </wp:positionV>
            <wp:extent cx="71323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891" w:right="359" w:bottom="1440" w:gutter="0" w:footer="0" w:header="0"/>
        </w:sectPr>
      </w:pPr>
    </w:p>
    <w:bookmarkStart w:id="98" w:name="page99"/>
    <w:bookmarkEnd w:id="98"/>
    <w:p>
      <w:pPr>
        <w:jc w:val="right"/>
        <w:ind w:left="260" w:righ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10.65   </w:t>
      </w:r>
      <w:hyperlink r:id="rId236">
        <w:r>
          <w:rPr>
            <w:rFonts w:ascii="Times New Roman" w:cs="Times New Roman" w:eastAsia="Times New Roman" w:hAnsi="Times New Roman"/>
            <w:sz w:val="18"/>
            <w:szCs w:val="18"/>
            <w:u w:val="single" w:color="auto"/>
            <w:color w:val="0000FF"/>
          </w:rPr>
          <w:t>Third Amended and Restated Credit Agreement, dated as of August 31, 2022, among Newell Brands Inc., the Subsidiary Borrowers party</w:t>
        </w:r>
      </w:hyperlink>
      <w:r>
        <w:rPr>
          <w:rFonts w:ascii="Times New Roman" w:cs="Times New Roman" w:eastAsia="Times New Roman" w:hAnsi="Times New Roman"/>
          <w:sz w:val="18"/>
          <w:szCs w:val="18"/>
          <w:color w:val="auto"/>
        </w:rPr>
        <w:t xml:space="preserve"> </w:t>
      </w:r>
      <w:hyperlink r:id="rId236">
        <w:r>
          <w:rPr>
            <w:rFonts w:ascii="Times New Roman" w:cs="Times New Roman" w:eastAsia="Times New Roman" w:hAnsi="Times New Roman"/>
            <w:sz w:val="18"/>
            <w:szCs w:val="18"/>
            <w:u w:val="single" w:color="auto"/>
            <w:color w:val="0000FF"/>
          </w:rPr>
          <w:t>thereto, the Guarantors from time to time party thereto, the Lenders party thereto and JPMorgan Chase Bank, N.A., as Administrative Agent.</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(incorporated by reference to Exhibit 10.1 to the Company’s Current Report on Form 8-K dated September 6, 2022,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4883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right"/>
        <w:ind w:left="26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10.66   </w:t>
      </w:r>
      <w:hyperlink r:id="rId238">
        <w:r>
          <w:rPr>
            <w:rFonts w:ascii="Times New Roman" w:cs="Times New Roman" w:eastAsia="Times New Roman" w:hAnsi="Times New Roman"/>
            <w:sz w:val="18"/>
            <w:szCs w:val="18"/>
            <w:u w:val="single" w:color="auto"/>
            <w:color w:val="0000FF"/>
          </w:rPr>
          <w:t>Amendment No. 1, dated March 27, 2023, to the Third Amended and Restated Credit Agreement, dated as of August 31, 2022, among Newell</w:t>
        </w:r>
      </w:hyperlink>
      <w:r>
        <w:rPr>
          <w:rFonts w:ascii="Times New Roman" w:cs="Times New Roman" w:eastAsia="Times New Roman" w:hAnsi="Times New Roman"/>
          <w:sz w:val="18"/>
          <w:szCs w:val="18"/>
          <w:color w:val="auto"/>
        </w:rPr>
        <w:t xml:space="preserve"> </w:t>
      </w:r>
      <w:hyperlink r:id="rId238">
        <w:r>
          <w:rPr>
            <w:rFonts w:ascii="Times New Roman" w:cs="Times New Roman" w:eastAsia="Times New Roman" w:hAnsi="Times New Roman"/>
            <w:sz w:val="18"/>
            <w:szCs w:val="18"/>
            <w:u w:val="single" w:color="auto"/>
            <w:color w:val="0000FF"/>
          </w:rPr>
          <w:t>Brands Inc., the Subsidiary Borrowers party thereto, the Guarantors from time to time party thereto, the Lenders party thereto and JPMorgan</w:t>
        </w:r>
      </w:hyperlink>
    </w:p>
    <w:p>
      <w:pPr>
        <w:ind w:left="940" w:right="20"/>
        <w:spacing w:after="0" w:line="226"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Chase Bank, N.A., as Administrative Agent (incorporated by reference to Exhibit 10.1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March 31, 2023, File No. 001-09608).</w:t>
        </w:r>
      </w:hyperlink>
    </w:p>
    <w:p>
      <w:pPr>
        <w:jc w:val="right"/>
        <w:ind w:left="26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10.67   </w:t>
      </w:r>
      <w:hyperlink r:id="rId239">
        <w:r>
          <w:rPr>
            <w:rFonts w:ascii="Times New Roman" w:cs="Times New Roman" w:eastAsia="Times New Roman" w:hAnsi="Times New Roman"/>
            <w:sz w:val="18"/>
            <w:szCs w:val="18"/>
            <w:u w:val="single" w:color="auto"/>
            <w:color w:val="0000FF"/>
          </w:rPr>
          <w:t>Amendment No. 2, dated February 7, 2024, to the Third Amended and Restated Credit Agreement, dated as of August 31, 2022, among</w:t>
        </w:r>
      </w:hyperlink>
      <w:r>
        <w:rPr>
          <w:rFonts w:ascii="Times New Roman" w:cs="Times New Roman" w:eastAsia="Times New Roman" w:hAnsi="Times New Roman"/>
          <w:sz w:val="18"/>
          <w:szCs w:val="18"/>
          <w:color w:val="auto"/>
        </w:rPr>
        <w:t xml:space="preserve"> </w:t>
      </w:r>
      <w:hyperlink r:id="rId239">
        <w:r>
          <w:rPr>
            <w:rFonts w:ascii="Times New Roman" w:cs="Times New Roman" w:eastAsia="Times New Roman" w:hAnsi="Times New Roman"/>
            <w:sz w:val="18"/>
            <w:szCs w:val="18"/>
            <w:u w:val="single" w:color="auto"/>
            <w:color w:val="0000FF"/>
          </w:rPr>
          <w:t>Newell Brands Inc., the Subsidiary Borrowers party thereto, the Guarantors from time to time party thereto, the Lenders party thereto and</w:t>
        </w:r>
      </w:hyperlink>
    </w:p>
    <w:p>
      <w:pPr>
        <w:ind w:left="940" w:right="20"/>
        <w:spacing w:after="0" w:line="226"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JPMorgan Chase Bank, N.A., as Administrative Agent (incorporated by reference to Exhibit 10.1 to the Company’s Current Report on Form</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8-K filed on February 9, 2024,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883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right"/>
        <w:ind w:left="26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10.68   </w:t>
      </w:r>
      <w:hyperlink r:id="rId241">
        <w:r>
          <w:rPr>
            <w:rFonts w:ascii="Times New Roman" w:cs="Times New Roman" w:eastAsia="Times New Roman" w:hAnsi="Times New Roman"/>
            <w:sz w:val="18"/>
            <w:szCs w:val="18"/>
            <w:u w:val="single" w:color="auto"/>
            <w:color w:val="0000FF"/>
          </w:rPr>
          <w:t>Amendment No. 3, dated April 19, 2024, to the Third Amended and Restated Credit Agreement, dated as of August 31, 2022, among Newell</w:t>
        </w:r>
      </w:hyperlink>
      <w:r>
        <w:rPr>
          <w:rFonts w:ascii="Times New Roman" w:cs="Times New Roman" w:eastAsia="Times New Roman" w:hAnsi="Times New Roman"/>
          <w:sz w:val="18"/>
          <w:szCs w:val="18"/>
          <w:color w:val="auto"/>
        </w:rPr>
        <w:t xml:space="preserve"> </w:t>
      </w:r>
      <w:hyperlink r:id="rId241">
        <w:r>
          <w:rPr>
            <w:rFonts w:ascii="Times New Roman" w:cs="Times New Roman" w:eastAsia="Times New Roman" w:hAnsi="Times New Roman"/>
            <w:sz w:val="18"/>
            <w:szCs w:val="18"/>
            <w:u w:val="single" w:color="auto"/>
            <w:color w:val="0000FF"/>
          </w:rPr>
          <w:t>Brands Inc., the Subsidiary Borrowers party thereto, the Guarantors from time-to-time party thereto, the Lenders party thereto and JPMorgan</w:t>
        </w:r>
      </w:hyperlink>
    </w:p>
    <w:p>
      <w:pPr>
        <w:ind w:left="940" w:right="20"/>
        <w:spacing w:after="0" w:line="226"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Chase Bank, N.A., as Administrative Agent (incorporated by reference to Exhibit 10.3 to the Company’s Quarterly Report on Form 10-Q for</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the quarterly period ending June 30, 2024, File No. 001-09608).</w:t>
        </w:r>
      </w:hyperlink>
    </w:p>
    <w:p>
      <w:pPr>
        <w:ind w:left="940" w:right="20" w:hanging="672"/>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10.69</w:t>
      </w:r>
      <w:r>
        <w:rPr>
          <w:sz w:val="20"/>
          <w:szCs w:val="20"/>
          <w:color w:val="auto"/>
        </w:rPr>
        <w:tab/>
      </w:r>
      <w:hyperlink r:id="rId242">
        <w:r>
          <w:rPr>
            <w:rFonts w:ascii="Times New Roman" w:cs="Times New Roman" w:eastAsia="Times New Roman" w:hAnsi="Times New Roman"/>
            <w:sz w:val="18"/>
            <w:szCs w:val="18"/>
            <w:u w:val="single" w:color="auto"/>
            <w:color w:val="0000FF"/>
          </w:rPr>
          <w:t>Receivables Sale Agreement, dated as of October 2, 2023, among the Originators and Jarden Receivables, LLC, (incorporated by reference to</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Exhibit 10.1 to the Company’s Current Report on Form 8-K dated October 5, 2023, File No. 001-09608).</w:t>
        </w:r>
      </w:hyperlink>
    </w:p>
    <w:p>
      <w:pPr>
        <w:spacing w:after="0" w:line="10" w:lineRule="exact"/>
        <w:rPr>
          <w:sz w:val="20"/>
          <w:szCs w:val="20"/>
          <w:color w:val="auto"/>
        </w:rPr>
      </w:pPr>
    </w:p>
    <w:p>
      <w:pPr>
        <w:ind w:left="940" w:right="20" w:hanging="672"/>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10.70</w:t>
      </w:r>
      <w:r>
        <w:rPr>
          <w:sz w:val="20"/>
          <w:szCs w:val="20"/>
          <w:color w:val="auto"/>
        </w:rPr>
        <w:tab/>
      </w:r>
      <w:hyperlink r:id="rId243">
        <w:r>
          <w:rPr>
            <w:rFonts w:ascii="Times New Roman" w:cs="Times New Roman" w:eastAsia="Times New Roman" w:hAnsi="Times New Roman"/>
            <w:sz w:val="18"/>
            <w:szCs w:val="18"/>
            <w:u w:val="single" w:color="auto"/>
            <w:color w:val="0000FF"/>
          </w:rPr>
          <w:t>Receivables Purchase Agreement, dated as of October 2, 2023, among Jarden Receivables, LLC, Royal Bank of Canada and Newell Brands</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Inc., (incorporated by reference to Exhibit 10.2 to the Company’s Current Report on Form 8-K dated October 5, 2023,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ITEM 19 — INSIDER TRADING COMPLIANCE MANUAL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60"/>
        <w:spacing w:after="0"/>
        <w:tabs>
          <w:tab w:leader="none" w:pos="9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Securities Transaction Policy.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21 — SUBSIDIARIES OF THE REGISTRANT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21.1†</w:t>
            </w:r>
          </w:p>
        </w:tc>
        <w:tc>
          <w:tcPr>
            <w:tcW w:w="10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74"/>
        </w:trPr>
        <w:tc>
          <w:tcPr>
            <w:tcW w:w="9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0000FF"/>
            </w:tcBorders>
            <w:shd w:val="clear" w:color="auto" w:fill="CCEEFF"/>
          </w:tcPr>
          <w:p>
            <w:pPr>
              <w:spacing w:after="0"/>
              <w:rPr>
                <w:sz w:val="6"/>
                <w:szCs w:val="6"/>
                <w:color w:val="auto"/>
              </w:rPr>
            </w:pPr>
          </w:p>
        </w:tc>
        <w:tc>
          <w:tcPr>
            <w:tcW w:w="200" w:type="dxa"/>
            <w:vAlign w:val="bottom"/>
            <w:tcBorders>
              <w:top w:val="single" w:sz="8" w:color="0000FF"/>
            </w:tcBorders>
            <w:shd w:val="clear" w:color="auto" w:fill="CCEEFF"/>
          </w:tcPr>
          <w:p>
            <w:pPr>
              <w:spacing w:after="0"/>
              <w:rPr>
                <w:sz w:val="6"/>
                <w:szCs w:val="6"/>
                <w:color w:val="auto"/>
              </w:rPr>
            </w:pPr>
          </w:p>
        </w:tc>
        <w:tc>
          <w:tcPr>
            <w:tcW w:w="780" w:type="dxa"/>
            <w:vAlign w:val="bottom"/>
            <w:tcBorders>
              <w:top w:val="single" w:sz="8" w:color="0000FF"/>
            </w:tcBorders>
            <w:shd w:val="clear" w:color="auto" w:fill="CCEEFF"/>
          </w:tcPr>
          <w:p>
            <w:pPr>
              <w:spacing w:after="0"/>
              <w:rPr>
                <w:sz w:val="6"/>
                <w:szCs w:val="6"/>
                <w:color w:val="auto"/>
              </w:rPr>
            </w:pPr>
          </w:p>
        </w:tc>
        <w:tc>
          <w:tcPr>
            <w:tcW w:w="780" w:type="dxa"/>
            <w:vAlign w:val="bottom"/>
            <w:tcBorders>
              <w:top w:val="single" w:sz="8" w:color="0000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72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94"/>
        </w:trPr>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0"/>
        </w:trPr>
        <w:tc>
          <w:tcPr>
            <w:tcW w:w="1124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23 — CONSENT OF EXPERTS AND COUNSEL</w:t>
            </w:r>
          </w:p>
        </w:tc>
      </w:tr>
      <w:tr>
        <w:trPr>
          <w:trHeight w:val="216"/>
        </w:trPr>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23.1†</w:t>
            </w: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74"/>
        </w:trPr>
        <w:tc>
          <w:tcPr>
            <w:tcW w:w="940" w:type="dxa"/>
            <w:vAlign w:val="bottom"/>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780" w:type="dxa"/>
            <w:vAlign w:val="bottom"/>
            <w:tcBorders>
              <w:top w:val="single" w:sz="8" w:color="0000FF"/>
            </w:tcBorders>
          </w:tcPr>
          <w:p>
            <w:pPr>
              <w:spacing w:after="0"/>
              <w:rPr>
                <w:sz w:val="6"/>
                <w:szCs w:val="6"/>
                <w:color w:val="auto"/>
              </w:rPr>
            </w:pPr>
          </w:p>
        </w:tc>
        <w:tc>
          <w:tcPr>
            <w:tcW w:w="780" w:type="dxa"/>
            <w:vAlign w:val="bottom"/>
            <w:tcBorders>
              <w:top w:val="single" w:sz="8" w:color="0000FF"/>
            </w:tcBorders>
          </w:tcPr>
          <w:p>
            <w:pPr>
              <w:spacing w:after="0"/>
              <w:rPr>
                <w:sz w:val="6"/>
                <w:szCs w:val="6"/>
                <w:color w:val="auto"/>
              </w:rPr>
            </w:pPr>
          </w:p>
        </w:tc>
        <w:tc>
          <w:tcPr>
            <w:tcW w:w="840" w:type="dxa"/>
            <w:vAlign w:val="bottom"/>
            <w:tcBorders>
              <w:top w:val="single" w:sz="8" w:color="0000FF"/>
            </w:tcBorders>
          </w:tcPr>
          <w:p>
            <w:pPr>
              <w:spacing w:after="0"/>
              <w:rPr>
                <w:sz w:val="6"/>
                <w:szCs w:val="6"/>
                <w:color w:val="auto"/>
              </w:rPr>
            </w:pPr>
          </w:p>
        </w:tc>
        <w:tc>
          <w:tcPr>
            <w:tcW w:w="72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124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31 — RULE 13a-14(a)/15d-14(a) CERTIFICATIONS</w:t>
            </w:r>
          </w:p>
        </w:tc>
      </w:tr>
      <w:tr>
        <w:trPr>
          <w:trHeight w:val="216"/>
        </w:trPr>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10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or Rule 15d-14(a), as Adopted Pursuant to Section 302 of the Sarbanes-</w:t>
            </w:r>
          </w:p>
        </w:tc>
      </w:tr>
      <w:tr>
        <w:trPr>
          <w:trHeight w:val="236"/>
        </w:trPr>
        <w:tc>
          <w:tcPr>
            <w:tcW w:w="940" w:type="dxa"/>
            <w:vAlign w:val="bottom"/>
          </w:tcPr>
          <w:p>
            <w:pPr>
              <w:spacing w:after="0"/>
              <w:rPr>
                <w:sz w:val="20"/>
                <w:szCs w:val="20"/>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Oxley Act of 2002.</w:t>
            </w:r>
          </w:p>
        </w:tc>
      </w:tr>
      <w:tr>
        <w:trPr>
          <w:trHeight w:val="61"/>
        </w:trPr>
        <w:tc>
          <w:tcPr>
            <w:tcW w:w="940" w:type="dxa"/>
            <w:vAlign w:val="bottom"/>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80" w:type="dxa"/>
            <w:vAlign w:val="bottom"/>
            <w:tcBorders>
              <w:top w:val="single" w:sz="8" w:color="0000FF"/>
            </w:tcBorders>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12a-14(a) or Rule 15d-14(a), as Adopted Pursuant to Section 302 of the Sarbanes-</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7"/>
        </w:trPr>
        <w:tc>
          <w:tcPr>
            <w:tcW w:w="940" w:type="dxa"/>
            <w:vAlign w:val="bottom"/>
            <w:shd w:val="clear" w:color="auto" w:fill="CCEEFF"/>
          </w:tcPr>
          <w:p>
            <w:pPr>
              <w:spacing w:after="0"/>
              <w:rPr>
                <w:sz w:val="20"/>
                <w:szCs w:val="20"/>
                <w:color w:val="auto"/>
              </w:rPr>
            </w:pPr>
          </w:p>
        </w:tc>
        <w:tc>
          <w:tcPr>
            <w:tcW w:w="10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Oxley Act of 2002.</w:t>
            </w:r>
          </w:p>
        </w:tc>
      </w:tr>
      <w:tr>
        <w:trPr>
          <w:trHeight w:val="61"/>
        </w:trPr>
        <w:tc>
          <w:tcPr>
            <w:tcW w:w="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7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30"/>
        </w:trPr>
        <w:tc>
          <w:tcPr>
            <w:tcW w:w="112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ITEM 32 — SECTION 1350 CERTIFICATIONS</w:t>
            </w:r>
          </w:p>
        </w:tc>
      </w:tr>
      <w:tr>
        <w:trPr>
          <w:trHeight w:val="216"/>
        </w:trPr>
        <w:tc>
          <w:tcPr>
            <w:tcW w:w="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32.1†</w:t>
            </w:r>
          </w:p>
        </w:tc>
        <w:tc>
          <w:tcPr>
            <w:tcW w:w="10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237"/>
        </w:trPr>
        <w:tc>
          <w:tcPr>
            <w:tcW w:w="94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Borders>
              <w:top w:val="single" w:sz="8" w:color="CCEEFF"/>
            </w:tcBorders>
            <w:shd w:val="clear" w:color="auto" w:fill="CCEEFF"/>
          </w:tcPr>
          <w:p>
            <w:pPr>
              <w:spacing w:after="0"/>
              <w:rPr>
                <w:sz w:val="20"/>
                <w:szCs w:val="20"/>
                <w:color w:val="auto"/>
              </w:rPr>
            </w:pPr>
          </w:p>
        </w:tc>
      </w:tr>
      <w:tr>
        <w:trPr>
          <w:trHeight w:val="61"/>
        </w:trPr>
        <w:tc>
          <w:tcPr>
            <w:tcW w:w="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7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32.2†</w:t>
            </w: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 of</w:t>
            </w:r>
          </w:p>
        </w:tc>
      </w:tr>
      <w:tr>
        <w:trPr>
          <w:trHeight w:val="236"/>
        </w:trPr>
        <w:tc>
          <w:tcPr>
            <w:tcW w:w="940" w:type="dxa"/>
            <w:vAlign w:val="bottom"/>
          </w:tcPr>
          <w:p>
            <w:pPr>
              <w:spacing w:after="0"/>
              <w:rPr>
                <w:sz w:val="20"/>
                <w:szCs w:val="20"/>
                <w:color w:val="auto"/>
              </w:rPr>
            </w:pPr>
          </w:p>
        </w:tc>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2002.</w:t>
            </w:r>
          </w:p>
        </w:tc>
        <w:tc>
          <w:tcPr>
            <w:tcW w:w="20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7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97— POLICY RELATING TO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940" w:right="20" w:hanging="672"/>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247">
        <w:r>
          <w:rPr>
            <w:rFonts w:ascii="Times New Roman" w:cs="Times New Roman" w:eastAsia="Times New Roman" w:hAnsi="Times New Roman"/>
            <w:sz w:val="18"/>
            <w:szCs w:val="18"/>
            <w:u w:val="single" w:color="auto"/>
            <w:color w:val="0000FF"/>
          </w:rPr>
          <w:t>Newell Brands Inc., Executive Compensation Recruitment Policy (Effective November 7, 2023) (incorporated by reference to Exhibit 97.1 to</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the Company’s Current Report on Form 10-K dated February 20, 2024, File No. 001-09608).</w:t>
        </w:r>
      </w:hyperlink>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101 — 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31"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101.INS</w:t>
      </w:r>
    </w:p>
    <w:p>
      <w:pPr>
        <w:spacing w:after="0" w:line="9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101.SCH</w:t>
      </w:r>
    </w:p>
    <w:p>
      <w:pPr>
        <w:spacing w:after="0" w:line="10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101.CAL</w:t>
      </w:r>
    </w:p>
    <w:p>
      <w:pPr>
        <w:spacing w:after="0" w:line="10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101.DEF</w:t>
      </w:r>
    </w:p>
    <w:p>
      <w:pPr>
        <w:spacing w:after="0" w:line="10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101.LAB</w:t>
      </w:r>
    </w:p>
    <w:p>
      <w:pPr>
        <w:spacing w:after="0" w:line="10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101.PRE</w:t>
      </w:r>
    </w:p>
    <w:p>
      <w:pPr>
        <w:spacing w:after="0" w:line="10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51435</wp:posOffset>
            </wp:positionV>
            <wp:extent cx="7132320"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51435</wp:posOffset>
            </wp:positionV>
            <wp:extent cx="7132320" cy="196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51435</wp:posOffset>
            </wp:positionV>
            <wp:extent cx="7132320" cy="196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140"/>
            <w:col w:w="10300"/>
          </w:cols>
          <w:pgMar w:left="320" w:top="891" w:right="339" w:bottom="1440" w:gutter="0" w:footer="0" w:header="0"/>
          <w:type w:val="continuous"/>
        </w:sectPr>
      </w:pPr>
    </w:p>
    <w:p>
      <w:pPr>
        <w:spacing w:after="0" w:line="5" w:lineRule="exact"/>
        <w:rPr>
          <w:sz w:val="20"/>
          <w:szCs w:val="20"/>
          <w:color w:val="auto"/>
        </w:rPr>
      </w:pPr>
    </w:p>
    <w:p>
      <w:pPr>
        <w:ind w:left="400" w:hanging="239"/>
        <w:spacing w:after="0"/>
        <w:tabs>
          <w:tab w:leader="none" w:pos="40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400" w:hanging="239"/>
        <w:spacing w:after="0"/>
        <w:tabs>
          <w:tab w:leader="none" w:pos="40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management contracts and compensatory plans and arrangements.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NEWELL BRANDS INC.</w:t>
      </w: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Mark J. Erceg</w:t>
            </w:r>
          </w:p>
        </w:tc>
      </w:tr>
      <w:tr>
        <w:trPr>
          <w:trHeight w:val="218"/>
        </w:trPr>
        <w:tc>
          <w:tcPr>
            <w:tcW w:w="520" w:type="dxa"/>
            <w:vAlign w:val="bottom"/>
          </w:tcPr>
          <w:p>
            <w:pPr>
              <w:spacing w:after="0"/>
              <w:rPr>
                <w:sz w:val="18"/>
                <w:szCs w:val="18"/>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 J. Erceg</w:t>
            </w:r>
          </w:p>
        </w:tc>
      </w:tr>
      <w:tr>
        <w:trPr>
          <w:trHeight w:val="22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14, 2025</w:t>
            </w:r>
          </w:p>
        </w:tc>
      </w:tr>
    </w:tbl>
    <w:p>
      <w:pPr>
        <w:spacing w:after="0" w:line="2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February 14, 2025, by the following persons on behalf of the Registrant and in the capacities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6"/>
                <w:szCs w:val="16"/>
                <w:color w:val="auto"/>
              </w:rPr>
            </w:pPr>
          </w:p>
        </w:tc>
        <w:tc>
          <w:tcPr>
            <w:tcW w:w="53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5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5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Peterson</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Peterson</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J. Erceg</w:t>
            </w:r>
          </w:p>
        </w:tc>
        <w:tc>
          <w:tcPr>
            <w:tcW w:w="1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J. Erceg</w:t>
            </w: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bl>
    <w:p>
      <w:pPr>
        <w:spacing w:after="0" w:line="98" w:lineRule="exact"/>
        <w:rPr>
          <w:sz w:val="20"/>
          <w:szCs w:val="20"/>
          <w:color w:val="auto"/>
        </w:rPr>
      </w:pPr>
    </w:p>
    <w:p>
      <w:pPr>
        <w:sectPr>
          <w:pgSz w:w="11900" w:h="16838" w:orient="portrait"/>
          <w:cols w:equalWidth="0" w:num="1">
            <w:col w:w="11240"/>
          </w:cols>
          <w:pgMar w:left="320" w:top="121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/s/ Robert A.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A. Schmidt</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Bridget Ryan 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Bridget Ryan Berman</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Patrick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Patrick D. Campbell</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Keane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Gerardo I.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Gerardo I. Lopez</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Judith A. Sprieser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01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Judith A. Sprieser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Accounting Officer</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sectPr>
          <w:pgSz w:w="11900" w:h="16838" w:orient="portrait"/>
          <w:cols w:equalWidth="0" w:num="2">
            <w:col w:w="5240" w:space="720"/>
            <w:col w:w="5280"/>
          </w:cols>
          <w:pgMar w:left="320" w:top="121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Stephanie Stahl</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Stephanie Stahl</w:t>
            </w:r>
          </w:p>
        </w:tc>
        <w:tc>
          <w:tcPr>
            <w:tcW w:w="780" w:type="dxa"/>
            <w:vAlign w:val="bottom"/>
          </w:tcPr>
          <w:p>
            <w:pPr>
              <w:spacing w:after="0"/>
              <w:rPr>
                <w:sz w:val="19"/>
                <w:szCs w:val="19"/>
                <w:color w:val="auto"/>
              </w:rPr>
            </w:pPr>
          </w:p>
        </w:tc>
      </w:tr>
      <w:tr>
        <w:trPr>
          <w:trHeight w:val="33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Terry</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Terry</w:t>
            </w:r>
          </w:p>
        </w:tc>
        <w:tc>
          <w:tcPr>
            <w:tcW w:w="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NEWELL BRANDS INC. AND SUBSIDIARIES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194"/>
        </w:trPr>
        <w:tc>
          <w:tcPr>
            <w:tcW w:w="5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 for Credit Losses: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3"/>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Disposition</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Valuation Allowance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062"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9"/>
          <w:szCs w:val="19"/>
          <w:b w:val="1"/>
          <w:bCs w:val="1"/>
          <w:color w:val="0E0E0E"/>
        </w:rPr>
        <w:t>EXHIBIT 4.1</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E0E0E"/>
        </w:rPr>
        <w:t>DESCRIPTION OF THE REGISTRANT'S SECURITIES REGISTERED PURSUANT 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E0E0E"/>
        </w:rPr>
        <w:t>SECTION 12 OF THE SECURITIES EXCHANGE ACT OF 1934</w:t>
      </w:r>
    </w:p>
    <w:p>
      <w:pPr>
        <w:spacing w:after="0" w:line="200" w:lineRule="exact"/>
        <w:rPr>
          <w:sz w:val="20"/>
          <w:szCs w:val="20"/>
          <w:color w:val="auto"/>
        </w:rPr>
      </w:pPr>
    </w:p>
    <w:p>
      <w:pPr>
        <w:spacing w:after="0" w:line="274" w:lineRule="exact"/>
        <w:rPr>
          <w:sz w:val="20"/>
          <w:szCs w:val="20"/>
          <w:color w:val="auto"/>
        </w:rPr>
      </w:pPr>
    </w:p>
    <w:p>
      <w:pPr>
        <w:jc w:val="both"/>
        <w:ind w:left="40" w:right="20" w:firstLine="648"/>
        <w:spacing w:after="0" w:line="280" w:lineRule="auto"/>
        <w:rPr>
          <w:sz w:val="20"/>
          <w:szCs w:val="20"/>
          <w:color w:val="auto"/>
        </w:rPr>
      </w:pPr>
      <w:r>
        <w:rPr>
          <w:rFonts w:ascii="Times New Roman" w:cs="Times New Roman" w:eastAsia="Times New Roman" w:hAnsi="Times New Roman"/>
          <w:sz w:val="19"/>
          <w:szCs w:val="19"/>
          <w:color w:val="0E0E0E"/>
        </w:rPr>
        <w:t>As of February 14, 2025, Newell Brands Inc. (the "Company," "we," or "our,") has one class of securities, our Common Stock (as defined below), registered under Section 12 of the Securities Exchange Act of 1934, as amended.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E0E0E"/>
        </w:rPr>
        <w:t>DESCRIPTION OF COMMON STOCK</w:t>
      </w:r>
    </w:p>
    <w:p>
      <w:pPr>
        <w:spacing w:after="0" w:line="339" w:lineRule="exact"/>
        <w:rPr>
          <w:sz w:val="20"/>
          <w:szCs w:val="20"/>
          <w:color w:val="auto"/>
        </w:rPr>
      </w:pPr>
    </w:p>
    <w:p>
      <w:pPr>
        <w:jc w:val="both"/>
        <w:ind w:left="40" w:right="20" w:firstLine="648"/>
        <w:spacing w:after="0" w:line="259" w:lineRule="auto"/>
        <w:rPr>
          <w:sz w:val="20"/>
          <w:szCs w:val="20"/>
          <w:color w:val="auto"/>
        </w:rPr>
      </w:pPr>
      <w:r>
        <w:rPr>
          <w:rFonts w:ascii="Times New Roman" w:cs="Times New Roman" w:eastAsia="Times New Roman" w:hAnsi="Times New Roman"/>
          <w:sz w:val="19"/>
          <w:szCs w:val="19"/>
          <w:color w:val="0E0E0E"/>
        </w:rPr>
        <w:t>The following description of our common stock is a summary and does not purport to be complete. This summary is subject to and qualified in its entirety by reference to the General Corporation Law of the State of Delaware (the "DGCL") the complete text of the Company's Restated Certificate of Incorporation, as amended (the "Charter"), and By-Laws, as amended (the "By-Laws"), which are filed as Exhibits 3.1-3.2, and 3.3, respectively, to our Annual Report on Form 10-K of which this Exhibit 4.1 is a part. We encourage you to read those materials carefully.</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0E0E0E"/>
        </w:rPr>
        <w:t>Authorized Capital Stock</w:t>
      </w:r>
    </w:p>
    <w:p>
      <w:pPr>
        <w:spacing w:after="0" w:line="341" w:lineRule="exact"/>
        <w:rPr>
          <w:sz w:val="20"/>
          <w:szCs w:val="20"/>
          <w:color w:val="auto"/>
        </w:rPr>
      </w:pPr>
    </w:p>
    <w:p>
      <w:pPr>
        <w:jc w:val="both"/>
        <w:ind w:left="40" w:right="20" w:firstLine="648"/>
        <w:spacing w:after="0" w:line="266" w:lineRule="auto"/>
        <w:rPr>
          <w:sz w:val="20"/>
          <w:szCs w:val="20"/>
          <w:color w:val="auto"/>
        </w:rPr>
      </w:pPr>
      <w:r>
        <w:rPr>
          <w:rFonts w:ascii="Times New Roman" w:cs="Times New Roman" w:eastAsia="Times New Roman" w:hAnsi="Times New Roman"/>
          <w:sz w:val="19"/>
          <w:szCs w:val="19"/>
          <w:color w:val="0E0E0E"/>
        </w:rPr>
        <w:t>The Company has one class of securities, our common stock, par value $1.00 per share, registered under Section 12 of the Securities Exchange Act of 1934, as amended. Our authorized capital stock consists of 800,000,000 shares of common stock and 10,000,000 shares of preferred stock, consisting of 10,000 shares without par value and 9,990,000 shares of the par value of $1.00 per share.</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0E0E0E"/>
        </w:rPr>
        <w:t>Common Stock</w:t>
      </w:r>
    </w:p>
    <w:p>
      <w:pPr>
        <w:spacing w:after="0" w:line="3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E0E0E"/>
        </w:rPr>
        <w:t xml:space="preserve">Voting rights. </w:t>
      </w:r>
      <w:r>
        <w:rPr>
          <w:rFonts w:ascii="Times New Roman" w:cs="Times New Roman" w:eastAsia="Times New Roman" w:hAnsi="Times New Roman"/>
          <w:sz w:val="19"/>
          <w:szCs w:val="19"/>
          <w:color w:val="0E0E0E"/>
        </w:rPr>
        <w:t>Holders of our common stock are entitled to one vote for each share on all matters voted on by our stockholders.</w:t>
      </w:r>
    </w:p>
    <w:p>
      <w:pPr>
        <w:spacing w:after="0" w:line="299" w:lineRule="exact"/>
        <w:rPr>
          <w:sz w:val="20"/>
          <w:szCs w:val="20"/>
          <w:color w:val="auto"/>
        </w:rPr>
      </w:pPr>
    </w:p>
    <w:p>
      <w:pPr>
        <w:jc w:val="both"/>
        <w:ind w:left="40" w:right="20" w:firstLine="648"/>
        <w:spacing w:after="0" w:line="254" w:lineRule="auto"/>
        <w:rPr>
          <w:sz w:val="20"/>
          <w:szCs w:val="20"/>
          <w:color w:val="auto"/>
        </w:rPr>
      </w:pPr>
      <w:r>
        <w:rPr>
          <w:rFonts w:ascii="Times New Roman" w:cs="Times New Roman" w:eastAsia="Times New Roman" w:hAnsi="Times New Roman"/>
          <w:sz w:val="19"/>
          <w:szCs w:val="19"/>
          <w:color w:val="0E0E0E"/>
        </w:rPr>
        <w:t xml:space="preserve">The By-Laws provide that directors are elected by the vote of the majority of the votes cast with respect to that director's election at any meeting for the election of directors at which a quorum is present, except as otherwise required by the DGCL or as provided for in the Restated Certificate of Incorporation or the By- Laws, provided, however, that if the number of nominees exceeds the number of directors to be elected, then the directors shall be elected by the vote of a plurality of the votes of the shares present in person or represented by proxy at any such meeting and entitled to vote on the election of directors. All directors are elected at each annual meeting of stockholders for a one-year term and until his or her successor shall have been duly elected and qualified, unless he or she </w:t>
      </w:r>
      <w:r>
        <w:rPr>
          <w:rFonts w:ascii="Times New Roman" w:cs="Times New Roman" w:eastAsia="Times New Roman" w:hAnsi="Times New Roman"/>
          <w:sz w:val="19"/>
          <w:szCs w:val="19"/>
          <w:color w:val="0C0C0C"/>
        </w:rPr>
        <w:t>shall cease to serve by reason of death, resignation or other</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color w:val="0C0C0C"/>
        </w:rPr>
        <w:t>cause. Holders of our common stock do not have cumulative voting rights in the election of directors.</w:t>
      </w:r>
    </w:p>
    <w:p>
      <w:pPr>
        <w:spacing w:after="0" w:line="258" w:lineRule="exact"/>
        <w:rPr>
          <w:sz w:val="20"/>
          <w:szCs w:val="20"/>
          <w:color w:val="auto"/>
        </w:rPr>
      </w:pPr>
    </w:p>
    <w:p>
      <w:pPr>
        <w:jc w:val="both"/>
        <w:ind w:left="40" w:right="20" w:firstLine="648"/>
        <w:spacing w:after="0" w:line="280" w:lineRule="auto"/>
        <w:rPr>
          <w:sz w:val="20"/>
          <w:szCs w:val="20"/>
          <w:color w:val="auto"/>
        </w:rPr>
      </w:pPr>
      <w:r>
        <w:rPr>
          <w:rFonts w:ascii="Times New Roman" w:cs="Times New Roman" w:eastAsia="Times New Roman" w:hAnsi="Times New Roman"/>
          <w:sz w:val="19"/>
          <w:szCs w:val="19"/>
          <w:color w:val="0E0E0E"/>
        </w:rPr>
        <w:t>For all other matters, the affirmative vote of a majority of the votes entitled to be cast by the holders of shares of capital stock represented at the meeting shall be the act of the stockholders.</w:t>
      </w:r>
    </w:p>
    <w:p>
      <w:pPr>
        <w:spacing w:after="0" w:line="21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9"/>
          <w:szCs w:val="19"/>
          <w:i w:val="1"/>
          <w:iCs w:val="1"/>
          <w:color w:val="0E0E0E"/>
        </w:rPr>
        <w:t xml:space="preserve">Subscription, Redemption or Conversion Privileges. </w:t>
      </w:r>
      <w:r>
        <w:rPr>
          <w:rFonts w:ascii="Times New Roman" w:cs="Times New Roman" w:eastAsia="Times New Roman" w:hAnsi="Times New Roman"/>
          <w:sz w:val="19"/>
          <w:szCs w:val="19"/>
          <w:color w:val="0E0E0E"/>
        </w:rPr>
        <w:t>Holders of our common stock do not have any subscription, redemption or</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 xml:space="preserve">conversion privileges. Holders of our common stock do not have any preemptive right to purchase, subscribe for or otherwise acquire stock of any class of the Company or any security convertible into, or any warrant, option or right to purchase, </w:t>
      </w:r>
      <w:r>
        <w:rPr>
          <w:rFonts w:ascii="Times New Roman" w:cs="Times New Roman" w:eastAsia="Times New Roman" w:hAnsi="Times New Roman"/>
          <w:sz w:val="19"/>
          <w:szCs w:val="19"/>
          <w:color w:val="242424"/>
        </w:rPr>
        <w:t>subscribe</w:t>
      </w:r>
      <w:r>
        <w:rPr>
          <w:rFonts w:ascii="Times New Roman" w:cs="Times New Roman" w:eastAsia="Times New Roman" w:hAnsi="Times New Roman"/>
          <w:sz w:val="19"/>
          <w:szCs w:val="19"/>
          <w:color w:val="0E0E0E"/>
        </w:rPr>
        <w:t xml:space="preserve"> for or otherwise acquire </w:t>
      </w:r>
      <w:r>
        <w:rPr>
          <w:rFonts w:ascii="Times New Roman" w:cs="Times New Roman" w:eastAsia="Times New Roman" w:hAnsi="Times New Roman"/>
          <w:sz w:val="19"/>
          <w:szCs w:val="19"/>
          <w:color w:val="242424"/>
        </w:rPr>
        <w:t>stock</w:t>
      </w:r>
      <w:r>
        <w:rPr>
          <w:rFonts w:ascii="Times New Roman" w:cs="Times New Roman" w:eastAsia="Times New Roman" w:hAnsi="Times New Roman"/>
          <w:sz w:val="19"/>
          <w:szCs w:val="19"/>
          <w:color w:val="0E0E0E"/>
        </w:rPr>
        <w:t xml:space="preserve"> of any class of the Company, whether now or hereafter authorized. All outstanding shares of common stock are validly issued, fully paid and non-assessable.</w:t>
      </w:r>
    </w:p>
    <w:p>
      <w:pPr>
        <w:spacing w:after="0" w:line="333" w:lineRule="exact"/>
        <w:rPr>
          <w:sz w:val="20"/>
          <w:szCs w:val="20"/>
          <w:color w:val="auto"/>
        </w:rPr>
      </w:pPr>
    </w:p>
    <w:p>
      <w:pPr>
        <w:ind w:left="40" w:right="20" w:firstLine="648"/>
        <w:spacing w:after="0" w:line="284" w:lineRule="auto"/>
        <w:rPr>
          <w:sz w:val="20"/>
          <w:szCs w:val="20"/>
          <w:color w:val="auto"/>
        </w:rPr>
      </w:pPr>
      <w:r>
        <w:rPr>
          <w:rFonts w:ascii="Times New Roman" w:cs="Times New Roman" w:eastAsia="Times New Roman" w:hAnsi="Times New Roman"/>
          <w:sz w:val="19"/>
          <w:szCs w:val="19"/>
          <w:i w:val="1"/>
          <w:iCs w:val="1"/>
          <w:color w:val="0E0E0E"/>
        </w:rPr>
        <w:t xml:space="preserve">Dividends. </w:t>
      </w:r>
      <w:r>
        <w:rPr>
          <w:rFonts w:ascii="Times New Roman" w:cs="Times New Roman" w:eastAsia="Times New Roman" w:hAnsi="Times New Roman"/>
          <w:sz w:val="19"/>
          <w:szCs w:val="19"/>
          <w:color w:val="0E0E0E"/>
        </w:rPr>
        <w:t>Subject to the preferences or other rights of any preferred</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242424"/>
        </w:rPr>
        <w:t>stock</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that may be issued from time to time, holders of our</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common stock are entitled to participate ratably in dividends on our common stock as declared by our board of directors (our "Board").</w:t>
      </w:r>
    </w:p>
    <w:p>
      <w:pPr>
        <w:sectPr>
          <w:pgSz w:w="11900" w:h="16838" w:orient="portrait"/>
          <w:cols w:equalWidth="0" w:num="1">
            <w:col w:w="11040"/>
          </w:cols>
          <w:pgMar w:left="420" w:top="528" w:right="439" w:bottom="1440" w:gutter="0" w:footer="0" w:header="0"/>
        </w:sectPr>
      </w:pPr>
    </w:p>
    <w:bookmarkStart w:id="102" w:name="page103"/>
    <w:bookmarkEnd w:id="102"/>
    <w:p>
      <w:pPr>
        <w:jc w:val="both"/>
        <w:ind w:firstLine="648"/>
        <w:spacing w:after="0" w:line="314" w:lineRule="auto"/>
        <w:rPr>
          <w:sz w:val="20"/>
          <w:szCs w:val="20"/>
          <w:color w:val="auto"/>
        </w:rPr>
      </w:pPr>
      <w:r>
        <w:rPr>
          <w:rFonts w:ascii="Times New Roman" w:cs="Times New Roman" w:eastAsia="Times New Roman" w:hAnsi="Times New Roman"/>
          <w:sz w:val="18"/>
          <w:szCs w:val="18"/>
          <w:i w:val="1"/>
          <w:iCs w:val="1"/>
          <w:color w:val="0E0E0E"/>
        </w:rPr>
        <w:t xml:space="preserve">Liquidation. </w:t>
      </w:r>
      <w:r>
        <w:rPr>
          <w:rFonts w:ascii="Times New Roman" w:cs="Times New Roman" w:eastAsia="Times New Roman" w:hAnsi="Times New Roman"/>
          <w:sz w:val="18"/>
          <w:szCs w:val="18"/>
          <w:color w:val="0E0E0E"/>
        </w:rPr>
        <w:t>Holders of our common stock are entitled to share ratably in all assets available for distribution to stockholders in the event</w:t>
      </w:r>
      <w:r>
        <w:rPr>
          <w:rFonts w:ascii="Times New Roman" w:cs="Times New Roman" w:eastAsia="Times New Roman" w:hAnsi="Times New Roman"/>
          <w:sz w:val="18"/>
          <w:szCs w:val="18"/>
          <w:i w:val="1"/>
          <w:iCs w:val="1"/>
          <w:color w:val="0E0E0E"/>
        </w:rPr>
        <w:t xml:space="preserve"> </w:t>
      </w:r>
      <w:r>
        <w:rPr>
          <w:rFonts w:ascii="Times New Roman" w:cs="Times New Roman" w:eastAsia="Times New Roman" w:hAnsi="Times New Roman"/>
          <w:sz w:val="18"/>
          <w:szCs w:val="18"/>
          <w:color w:val="0E0E0E"/>
        </w:rPr>
        <w:t>of our liquidation or dissolution, subject to distribution of the preferential amount, if any, to be distributed to holders of our preferred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0E0E0E"/>
        </w:rPr>
        <w:t>Stock Exchange Listing</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E0E0E"/>
        </w:rPr>
        <w:t>Our common stock is listed on the Nasdaq Stock Market under the symbol "NWL."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0E0E0E"/>
        </w:rPr>
        <w:t>Certain Provisions Affecting Control of the Company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i w:val="1"/>
          <w:iCs w:val="1"/>
          <w:color w:val="0E0E0E"/>
        </w:rPr>
        <w:t xml:space="preserve">General. </w:t>
      </w:r>
      <w:r>
        <w:rPr>
          <w:rFonts w:ascii="Times New Roman" w:cs="Times New Roman" w:eastAsia="Times New Roman" w:hAnsi="Times New Roman"/>
          <w:sz w:val="19"/>
          <w:szCs w:val="19"/>
          <w:color w:val="0E0E0E"/>
        </w:rPr>
        <w:t>Certain provisions of the Charter, the By-Laws and the DGCL described in this section may delay or make more difficult</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acquisitions or changes of control of the Company not approved by our Board. These provisions could have the effect of discouraging third parties from making proposals involving an acquisition or change of control of the Company, although these kinds of proposals, if made, might be considered desirable by a majority of our stockholders. These provisions may also have the effect of making it more difficult for third parties to cause the replacement of our current management without the concurrence of our Board.</w:t>
      </w: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i w:val="1"/>
          <w:iCs w:val="1"/>
          <w:color w:val="242424"/>
        </w:rPr>
        <w:t xml:space="preserve">Number </w:t>
      </w:r>
      <w:r>
        <w:rPr>
          <w:rFonts w:ascii="Times New Roman" w:cs="Times New Roman" w:eastAsia="Times New Roman" w:hAnsi="Times New Roman"/>
          <w:sz w:val="19"/>
          <w:szCs w:val="19"/>
          <w:i w:val="1"/>
          <w:iCs w:val="1"/>
          <w:color w:val="0E0E0E"/>
        </w:rPr>
        <w:t>of Directors; Removal; Vacancies.</w:t>
      </w:r>
      <w:r>
        <w:rPr>
          <w:rFonts w:ascii="Times New Roman" w:cs="Times New Roman" w:eastAsia="Times New Roman" w:hAnsi="Times New Roman"/>
          <w:sz w:val="19"/>
          <w:szCs w:val="19"/>
          <w:i w:val="1"/>
          <w:iCs w:val="1"/>
          <w:color w:val="242424"/>
        </w:rPr>
        <w:t xml:space="preserve"> </w:t>
      </w:r>
      <w:r>
        <w:rPr>
          <w:rFonts w:ascii="Times New Roman" w:cs="Times New Roman" w:eastAsia="Times New Roman" w:hAnsi="Times New Roman"/>
          <w:sz w:val="19"/>
          <w:szCs w:val="19"/>
          <w:color w:val="0E0E0E"/>
        </w:rPr>
        <w:t>The By-Laws provide that the number of directors shall be not less than eight and not more</w:t>
      </w:r>
      <w:r>
        <w:rPr>
          <w:rFonts w:ascii="Times New Roman" w:cs="Times New Roman" w:eastAsia="Times New Roman" w:hAnsi="Times New Roman"/>
          <w:sz w:val="19"/>
          <w:szCs w:val="19"/>
          <w:i w:val="1"/>
          <w:iCs w:val="1"/>
          <w:color w:val="242424"/>
        </w:rPr>
        <w:t xml:space="preserve"> </w:t>
      </w:r>
      <w:r>
        <w:rPr>
          <w:rFonts w:ascii="Times New Roman" w:cs="Times New Roman" w:eastAsia="Times New Roman" w:hAnsi="Times New Roman"/>
          <w:sz w:val="19"/>
          <w:szCs w:val="19"/>
          <w:color w:val="0E0E0E"/>
        </w:rPr>
        <w:t xml:space="preserve">than thirteen, with the exact number to be fixed from time to time by our board of directors. The Charter also provides that newly created directorships resulting from any increase in the authorized number of directors or any vacancies in the Board resulting from death, resignation or other cause may be filled only by a majority vote of the directors then in office, though less than a quorum, or by a sole remaining director. This provision could have the effect of discouraging a potential acquirer from attempting to obtain control of the Company. The Charter further provides that </w:t>
      </w:r>
      <w:r>
        <w:rPr>
          <w:rFonts w:ascii="Times New Roman" w:cs="Times New Roman" w:eastAsia="Times New Roman" w:hAnsi="Times New Roman"/>
          <w:sz w:val="19"/>
          <w:szCs w:val="19"/>
          <w:color w:val="242424"/>
        </w:rPr>
        <w:t>any</w:t>
      </w:r>
      <w:r>
        <w:rPr>
          <w:rFonts w:ascii="Times New Roman" w:cs="Times New Roman" w:eastAsia="Times New Roman" w:hAnsi="Times New Roman"/>
          <w:sz w:val="19"/>
          <w:szCs w:val="19"/>
          <w:color w:val="0E0E0E"/>
        </w:rPr>
        <w:t xml:space="preserve"> director, or the entire Board, may be removed from office at any time, with or without cause by a majority of the shares then entitled to vote at an election of directors. This provision, in conjunction with the provision authorizing our Board to fill vacant directorships, could prevent stockholders from removing certain incumbent directors and filling the resulting vacancies with their own nominees.</w:t>
      </w:r>
    </w:p>
    <w:p>
      <w:pPr>
        <w:spacing w:after="0" w:line="2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i w:val="1"/>
          <w:iCs w:val="1"/>
          <w:color w:val="0E0E0E"/>
        </w:rPr>
        <w:t xml:space="preserve">Stockholder Action by Written Consent; Special Meetings. </w:t>
      </w:r>
      <w:r>
        <w:rPr>
          <w:rFonts w:ascii="Times New Roman" w:cs="Times New Roman" w:eastAsia="Times New Roman" w:hAnsi="Times New Roman"/>
          <w:sz w:val="19"/>
          <w:szCs w:val="19"/>
          <w:color w:val="0E0E0E"/>
        </w:rPr>
        <w:t>The Charter provides that stockholder action can be taken at an annual or</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special meeting of stockholders or, in certain circumstances, by written consent in lieu of a meeting. The Charter provides that stockholder action by written consent can be requested by a stockholder or a group of stockholders holding at least fifteen percent (15%) of the outstanding voting stock of the Company for at least one year and such request must comply with the other procedural requirements set forth in the Charter.</w:t>
      </w:r>
    </w:p>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0E0E0E"/>
        </w:rPr>
        <w:t>The By-Laws provide that special meetings of the stockholders may be called by the chairman of the Board, the Board or the president of the Company and must also be called by the Board upon the written request of stockholders representing in the aggregate at least 15% of the outstanding voting stock of the Company for at least one year and such request must comply with the other procedural requirements set forth in the By-Laws. These provisions could delay a stockholder vote on certain matters, such as business combinations and removal of directors, and could have the effect of discouraging a potential acquirer from making a tender offer.</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i w:val="1"/>
          <w:iCs w:val="1"/>
          <w:color w:val="0E0E0E"/>
        </w:rPr>
        <w:t xml:space="preserve">Advance Notice for Stockholder Proposals; Director Nominations; Proxy Access. </w:t>
      </w:r>
      <w:r>
        <w:rPr>
          <w:rFonts w:ascii="Times New Roman" w:cs="Times New Roman" w:eastAsia="Times New Roman" w:hAnsi="Times New Roman"/>
          <w:sz w:val="19"/>
          <w:szCs w:val="19"/>
          <w:color w:val="0E0E0E"/>
        </w:rPr>
        <w:t>The Charter and the By-Laws establish an advance</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notice procedure for stockholder proposals to be brought before a meeting of stockholders and for nominations by our stockholders of candidates for election as directors at an annual or special meeting of stockholders called for that purpose. As described in the Charter and the By-Laws, any business conducted at a meeting of stockholders must be brought before the stockholders by our Board or a stockholder who has given to the secretary of the Company timely written notice, in proper form, of the stockholder's intention to bring that business before the meeting. Individuals who are nominated by our Board, or who are nominated by a stockholder who has given to the secretary of the Company timely written notice, in proper form, prior to an annual or special meeting of stockholders at which directors are to be elected, will be eligible for election to our Board. In addition to the director nomination process described above, the By- Laws permit any stockholder or group of up to 20 stockholders who have maintained continuous qualifying ownership of 3% or more of our outstanding common stock for at least the previous three years to include up to a specified number of director nominees in our proxy materials for an annual</w:t>
      </w:r>
    </w:p>
    <w:p>
      <w:pPr>
        <w:sectPr>
          <w:pgSz w:w="11900" w:h="16838" w:orient="portrait"/>
          <w:cols w:equalWidth="0" w:num="1">
            <w:col w:w="10980"/>
          </w:cols>
          <w:pgMar w:left="460" w:top="717" w:right="459" w:bottom="1440" w:gutter="0" w:footer="0" w:header="0"/>
        </w:sectPr>
      </w:pPr>
    </w:p>
    <w:bookmarkStart w:id="103" w:name="page104"/>
    <w:bookmarkEnd w:id="103"/>
    <w:p>
      <w:pPr>
        <w:jc w:val="both"/>
        <w:spacing w:after="0" w:line="255" w:lineRule="auto"/>
        <w:rPr>
          <w:sz w:val="20"/>
          <w:szCs w:val="20"/>
          <w:color w:val="auto"/>
        </w:rPr>
      </w:pPr>
      <w:r>
        <w:rPr>
          <w:rFonts w:ascii="Times New Roman" w:cs="Times New Roman" w:eastAsia="Times New Roman" w:hAnsi="Times New Roman"/>
          <w:sz w:val="19"/>
          <w:szCs w:val="19"/>
          <w:color w:val="0E0E0E"/>
        </w:rPr>
        <w:t>meeting. The maximum number of stockholder nominees permitted under the proxy access provisions of the By-Laws is the greater of one or 20% of the total number of directors serving on the last day a notice of proxy access nomination may be submitted. Stockholders must give timely written notice to the secretary of the Company, in proper form, to include nominees in our proxy materials for an annual meeting. With the exception of proxy access, these provisions could make it more difficult for stockholders to raise matters affecting control of the Company, including tender offers, business combinations or the election or removal of directors, for a stockholder vote.</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0E0E0E"/>
        </w:rPr>
        <w:t xml:space="preserve">Amendment of the Certificate of Incorporation. </w:t>
      </w:r>
      <w:r>
        <w:rPr>
          <w:rFonts w:ascii="Times New Roman" w:cs="Times New Roman" w:eastAsia="Times New Roman" w:hAnsi="Times New Roman"/>
          <w:sz w:val="19"/>
          <w:szCs w:val="19"/>
          <w:color w:val="0E0E0E"/>
        </w:rPr>
        <w:t>Any proposal to amend, alter, change or repeal any provision of the Charter requires</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approval by the affirmative vote of both a majority of the members of our Board then in office and a majority vote of the voting power of all of the shares of our capital stock entitled to vote generally in the election of directors. This provision is the minimum approval required under the DGCL.</w:t>
      </w:r>
    </w:p>
    <w:p>
      <w:pPr>
        <w:spacing w:after="0" w:line="20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i w:val="1"/>
          <w:iCs w:val="1"/>
          <w:color w:val="0E0E0E"/>
        </w:rPr>
        <w:t xml:space="preserve">Preferred Stock and Additional Common Stock. </w:t>
      </w:r>
      <w:r>
        <w:rPr>
          <w:rFonts w:ascii="Times New Roman" w:cs="Times New Roman" w:eastAsia="Times New Roman" w:hAnsi="Times New Roman"/>
          <w:sz w:val="19"/>
          <w:szCs w:val="19"/>
          <w:color w:val="0E0E0E"/>
        </w:rPr>
        <w:t>Under the Charter, our Board has the authority to provide by resolution for the issuance</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of shares of one or more classes or series of preferred stock. Our Board is authorized to fix by resolution the terms and conditions of each such other class or series.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0E0E0E"/>
        </w:rPr>
        <w:t>The authorized shares of our preferred stock, as well as authorized but unissued shares of our common stock, are available for issuance without further action by our stockholders, unless stockholder action is required by applicable law or the rules of Nasdaq or any other stock exchange on which any class or series of our stock may then be listed. These provisions give our Board the power to approve the issuance of a class or series of our preferred capital stock, or additional shares of our common stock, that could, depending on the terms of the stock, either impede or facilitate the completion of a merger, tender offer or other takeover attempt. For example, the issuance of new shares might impede a business combination if the terms of those shares include voting rights which would enable a holder to block business combinations. Alternatively, the issuance of new shares might facilitate a business combination if those shares have general voting rights sufficient to cause an applicable percentage vote requirement to be satisfied.</w:t>
      </w: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i w:val="1"/>
          <w:iCs w:val="1"/>
          <w:color w:val="0E0E0E"/>
        </w:rPr>
        <w:t xml:space="preserve">Delaware Business Combination Statute. </w:t>
      </w:r>
      <w:r>
        <w:rPr>
          <w:rFonts w:ascii="Times New Roman" w:cs="Times New Roman" w:eastAsia="Times New Roman" w:hAnsi="Times New Roman"/>
          <w:sz w:val="19"/>
          <w:szCs w:val="19"/>
          <w:color w:val="0E0E0E"/>
        </w:rPr>
        <w:t>The Company is subject to the</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222222"/>
        </w:rPr>
        <w:t>"business</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combination" provisions of Section 203 of the</w:t>
      </w:r>
      <w:r>
        <w:rPr>
          <w:rFonts w:ascii="Times New Roman" w:cs="Times New Roman" w:eastAsia="Times New Roman" w:hAnsi="Times New Roman"/>
          <w:sz w:val="19"/>
          <w:szCs w:val="19"/>
          <w:i w:val="1"/>
          <w:iCs w:val="1"/>
          <w:color w:val="0E0E0E"/>
        </w:rPr>
        <w:t xml:space="preserve"> </w:t>
      </w:r>
      <w:r>
        <w:rPr>
          <w:rFonts w:ascii="Times New Roman" w:cs="Times New Roman" w:eastAsia="Times New Roman" w:hAnsi="Times New Roman"/>
          <w:sz w:val="19"/>
          <w:szCs w:val="19"/>
          <w:color w:val="0E0E0E"/>
        </w:rPr>
        <w:t xml:space="preserve">DGCL.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 the business combination is approved in a prescribed manner. A "business combination" is defined to include mergers, asset sales and other transactions resulting in financial benefit to an interested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the Company and, accordingly, may discourage attempts to acquire the Company even though such a transaction may offer the Company's share owners the opportunity to sell their </w:t>
      </w:r>
      <w:r>
        <w:rPr>
          <w:rFonts w:ascii="Times New Roman" w:cs="Times New Roman" w:eastAsia="Times New Roman" w:hAnsi="Times New Roman"/>
          <w:sz w:val="19"/>
          <w:szCs w:val="19"/>
          <w:color w:val="222222"/>
        </w:rPr>
        <w:t>stock</w:t>
      </w:r>
      <w:r>
        <w:rPr>
          <w:rFonts w:ascii="Times New Roman" w:cs="Times New Roman" w:eastAsia="Times New Roman" w:hAnsi="Times New Roman"/>
          <w:sz w:val="19"/>
          <w:szCs w:val="19"/>
          <w:color w:val="0E0E0E"/>
        </w:rPr>
        <w:t xml:space="preserve"> at a price above the prevailing market price.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0E0E0E"/>
        </w:rPr>
        <w:t>Exclusive Forum</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9"/>
          <w:szCs w:val="19"/>
          <w:color w:val="0E0E0E"/>
        </w:rPr>
        <w:t xml:space="preserve">Our By-Laws provide that, unless we consent in writing to the selection of another forum, a state court located within the State of Delaware (or the federal district court for the District of Delaware, as applicable) shall be the exclusive forum for (i) any derivative action or proceeding brought on behalf of the Company, (ii) any action asserting a claim of breach of a fiduciary duty owed by any director or officer or other employee of the Company to the Company or the Company's </w:t>
      </w:r>
      <w:r>
        <w:rPr>
          <w:rFonts w:ascii="Times New Roman" w:cs="Times New Roman" w:eastAsia="Times New Roman" w:hAnsi="Times New Roman"/>
          <w:sz w:val="19"/>
          <w:szCs w:val="19"/>
          <w:color w:val="222222"/>
        </w:rPr>
        <w:t>stockholders,</w:t>
      </w:r>
      <w:r>
        <w:rPr>
          <w:rFonts w:ascii="Times New Roman" w:cs="Times New Roman" w:eastAsia="Times New Roman" w:hAnsi="Times New Roman"/>
          <w:sz w:val="19"/>
          <w:szCs w:val="19"/>
          <w:color w:val="0E0E0E"/>
        </w:rPr>
        <w:t xml:space="preserve"> (iii) any action asserting a claim against the Company or any director or officer or other employee of the Company arising pursuant to any provision of the DGCL, the Charter or the By-Laws, or (iv) any action asserting a claim against the Company or any director or officer or other employee of the Company governed by the internal affairs doctrine. Our By-Laws further provide that, unless we consent in writing to the selection of another forum, the federal district courts of the United States of America shall be, to the fullest extent permitted by law, the sole and exclusive forum for any action asserting a claim arising under the Securities Act of 1933. Although we believe these provisions benefit us by providing increased consistency in the application of Delaware law or Federal law, respectively, in the types of lawsuits to which such provisions apply, these provisions may have the effect of discouraging lawsuits against our directors and officers. The enforceability of similar choice of forum provisions in other companies' bylaws and certificates of incorporation has been challenged in legal proceedings, and it is possible that, in connection with any action, a court could find the choice of forum provisions contained in our By-Laws to be inapplicable or unenforceable in such action.</w:t>
      </w:r>
    </w:p>
    <w:p>
      <w:pPr>
        <w:sectPr>
          <w:pgSz w:w="11900" w:h="16838" w:orient="portrait"/>
          <w:cols w:equalWidth="0" w:num="1">
            <w:col w:w="10980"/>
          </w:cols>
          <w:pgMar w:left="460" w:top="721" w:right="45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UNANIMOUS WRITTEN CONSENT OF THE</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NEWELL OPERATING COMPANY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RETIREMENT PLAN AMENDMENTS</w:t>
      </w:r>
    </w:p>
    <w:p>
      <w:pPr>
        <w:spacing w:after="0" w:line="25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THE UNDERSIGNED, being the duly elected members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Newell Operating Company (“</w:t>
      </w:r>
      <w:r>
        <w:rPr>
          <w:rFonts w:ascii="Times New Roman" w:cs="Times New Roman" w:eastAsia="Times New Roman" w:hAnsi="Times New Roman"/>
          <w:sz w:val="20"/>
          <w:szCs w:val="20"/>
          <w:b w:val="1"/>
          <w:bCs w:val="1"/>
          <w:color w:val="auto"/>
        </w:rPr>
        <w:t>NOC</w:t>
      </w:r>
      <w:r>
        <w:rPr>
          <w:rFonts w:ascii="Times New Roman" w:cs="Times New Roman" w:eastAsia="Times New Roman" w:hAnsi="Times New Roman"/>
          <w:sz w:val="20"/>
          <w:szCs w:val="20"/>
          <w:color w:val="auto"/>
        </w:rPr>
        <w:t>”), a Delaware corporation, DO HEREBY CONSENT to the adoption of the following recitals and resolutions, pursuant to Section 141(f) of the General Corporation Law of the State of Delaware: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NEWELL BRANDS EMPLOYEE SAVINGS PLAN</w:t>
      </w:r>
    </w:p>
    <w:p>
      <w:pPr>
        <w:spacing w:after="0" w:line="24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NOC sponsors and maintains the Newell Brands Employee Savings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as amended and restated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January 1, 2018, which has been most recently amended by the Fourth Amendment effective December 31, 2022, for the exclusive benefit of eligible employees of NOC and its participating affiliates; and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pursuant to Section 14.1, the Plan may be amended by resolution or written instrument approved by the Board;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22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NOC wishes to amend the Plan to reflect the requirements applicable to the Plan under the Setting Every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Community Up for Retirement Enhancement Act of 2019 (the “</w:t>
      </w:r>
      <w:r>
        <w:rPr>
          <w:rFonts w:ascii="Times New Roman" w:cs="Times New Roman" w:eastAsia="Times New Roman" w:hAnsi="Times New Roman"/>
          <w:sz w:val="20"/>
          <w:szCs w:val="20"/>
          <w:b w:val="1"/>
          <w:bCs w:val="1"/>
          <w:color w:val="auto"/>
        </w:rPr>
        <w:t>SECURE Act</w:t>
      </w:r>
      <w:r>
        <w:rPr>
          <w:rFonts w:ascii="Times New Roman" w:cs="Times New Roman" w:eastAsia="Times New Roman" w:hAnsi="Times New Roman"/>
          <w:sz w:val="20"/>
          <w:szCs w:val="20"/>
          <w:color w:val="auto"/>
        </w:rPr>
        <w:t>”) and the SECURE 2.0 Act of 2022 (the “</w:t>
      </w:r>
      <w:r>
        <w:rPr>
          <w:rFonts w:ascii="Times New Roman" w:cs="Times New Roman" w:eastAsia="Times New Roman" w:hAnsi="Times New Roman"/>
          <w:sz w:val="20"/>
          <w:szCs w:val="20"/>
          <w:b w:val="1"/>
          <w:bCs w:val="1"/>
          <w:color w:val="auto"/>
        </w:rPr>
        <w:t>SECURE 2.0 Act</w:t>
      </w:r>
      <w:r>
        <w:rPr>
          <w:rFonts w:ascii="Times New Roman" w:cs="Times New Roman" w:eastAsia="Times New Roman" w:hAnsi="Times New Roman"/>
          <w:sz w:val="20"/>
          <w:szCs w:val="20"/>
          <w:color w:val="auto"/>
        </w:rPr>
        <w:t>”). no later than the deadline for such adoption as established by the Internal Revenue Service in the implementing rulings thereunder, which deadline unless further extended is December 31, 2025 (the “</w:t>
      </w:r>
      <w:r>
        <w:rPr>
          <w:rFonts w:ascii="Times New Roman" w:cs="Times New Roman" w:eastAsia="Times New Roman" w:hAnsi="Times New Roman"/>
          <w:sz w:val="20"/>
          <w:szCs w:val="20"/>
          <w:b w:val="1"/>
          <w:bCs w:val="1"/>
          <w:color w:val="auto"/>
        </w:rPr>
        <w:t>Plan Deadline</w:t>
      </w:r>
      <w:r>
        <w:rPr>
          <w:rFonts w:ascii="Times New Roman" w:cs="Times New Roman" w:eastAsia="Times New Roman" w:hAnsi="Times New Roman"/>
          <w:sz w:val="20"/>
          <w:szCs w:val="20"/>
          <w:color w:val="auto"/>
        </w:rPr>
        <w:t>”); and</w:t>
      </w:r>
    </w:p>
    <w:p>
      <w:pPr>
        <w:spacing w:after="0" w:line="20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NOC wishes to amend the Plan to elect to provide safe harbor matching contributions for those employees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eligible to participate in the Plan’s qualified cash or deferred arrangement solely as a result of the long-term, part-time employee eligibility requirements of Section 112 of the SECURE Act and Sections 125 and 401 of the SECURE 2.0 Act and as further defined in Proposed Treasury Regulation Section 1.401(k)-5(b)(1)(i) (the “</w:t>
      </w:r>
      <w:r>
        <w:rPr>
          <w:rFonts w:ascii="Times New Roman" w:cs="Times New Roman" w:eastAsia="Times New Roman" w:hAnsi="Times New Roman"/>
          <w:sz w:val="20"/>
          <w:szCs w:val="20"/>
          <w:b w:val="1"/>
          <w:bCs w:val="1"/>
          <w:color w:val="auto"/>
        </w:rPr>
        <w:t>Long-Term, Part-Time Employees</w:t>
      </w:r>
      <w:r>
        <w:rPr>
          <w:rFonts w:ascii="Times New Roman" w:cs="Times New Roman" w:eastAsia="Times New Roman" w:hAnsi="Times New Roman"/>
          <w:sz w:val="20"/>
          <w:szCs w:val="20"/>
          <w:color w:val="auto"/>
        </w:rPr>
        <w:t>”); and</w:t>
      </w:r>
    </w:p>
    <w:p>
      <w:pPr>
        <w:spacing w:after="0" w:line="2" w:lineRule="exact"/>
        <w:rPr>
          <w:sz w:val="20"/>
          <w:szCs w:val="20"/>
          <w:color w:val="auto"/>
        </w:rPr>
      </w:pPr>
    </w:p>
    <w:p>
      <w:pPr>
        <w:jc w:val="both"/>
        <w:ind w:right="20" w:firstLine="1296"/>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NOC wishes to amend the Plan to (i) limit the number of hardship distributions available to Participants to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hardship withdrawal per calendar quarter and (ii) require a minimum of $1,000 per hardship withdrawal; and</w:t>
      </w:r>
    </w:p>
    <w:p>
      <w:pPr>
        <w:spacing w:after="0" w:line="18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NOC wishes to provide authority to the Newell Operating Company U.S. Benefits Administration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BAC</w:t>
      </w:r>
      <w:r>
        <w:rPr>
          <w:rFonts w:ascii="Times New Roman" w:cs="Times New Roman" w:eastAsia="Times New Roman" w:hAnsi="Times New Roman"/>
          <w:sz w:val="20"/>
          <w:szCs w:val="20"/>
          <w:color w:val="auto"/>
        </w:rPr>
        <w:t>”) or any member thereof to implement and execute the formal written document or documents, including a restatement of the Plan, to (i) memorialize the adoption of the matching contribution and hardship withdrawal amendments described above; and (ii) to amend the Plan to reflect the legal requirements applicable to the Plan under the SECURE Act and the SECURE 2.0 Act or any other legal and regulatory guidelines the BAC deems necessary or appropriate to adopt on or before the Plan Deadline;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NOW, THEREFORE, BE IT</w:t>
      </w:r>
    </w:p>
    <w:p>
      <w:pPr>
        <w:sectPr>
          <w:pgSz w:w="11900" w:h="16838" w:orient="portrait"/>
          <w:cols w:equalWidth="0" w:num="1">
            <w:col w:w="11240"/>
          </w:cols>
          <w:pgMar w:left="320" w:top="115" w:right="339" w:bottom="1440" w:gutter="0" w:footer="0" w:header="0"/>
        </w:sectPr>
      </w:pPr>
    </w:p>
    <w:bookmarkStart w:id="105" w:name="page106"/>
    <w:bookmarkEnd w:id="105"/>
    <w:p>
      <w:pPr>
        <w:jc w:val="both"/>
        <w:ind w:firstLine="1296"/>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RESOLVED, </w:t>
      </w:r>
      <w:r>
        <w:rPr>
          <w:rFonts w:ascii="Times New Roman" w:cs="Times New Roman" w:eastAsia="Times New Roman" w:hAnsi="Times New Roman"/>
          <w:sz w:val="19"/>
          <w:szCs w:val="19"/>
          <w:color w:val="auto"/>
        </w:rPr>
        <w:t>that the Plan is hereby amended effective as of January 1, 2024, without the need of any further action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anything in the Plan to the contrary, to provide for Matching Contributions as defined in Section 1.35 of the Plan to Long-Term, Part-Time Employees under the terms and conditions of Section 4.1 of the Plan and such other reasonable terms and conditions as may be necessary or appropriate in the discretion of the BAC to ensure the Plan maintains (i) safe harbor status as a result of this amendment and</w:t>
      </w:r>
    </w:p>
    <w:p>
      <w:pPr>
        <w:spacing w:after="0" w:line="2" w:lineRule="exact"/>
        <w:rPr>
          <w:sz w:val="20"/>
          <w:szCs w:val="20"/>
          <w:color w:val="auto"/>
        </w:rPr>
      </w:pPr>
    </w:p>
    <w:p>
      <w:pPr>
        <w:ind w:firstLine="8"/>
        <w:spacing w:after="0" w:line="260" w:lineRule="auto"/>
        <w:tabs>
          <w:tab w:leader="none" w:pos="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nondiscrimination testing and other relief provided under the SECURE Act and the SECURE 2.0 Act relating to the inclusion of the Long-Term, Part-Time Employees and NOC’s election to extend Matching Contributions thereto; and be it further</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RESOLVED, </w:t>
      </w:r>
      <w:r>
        <w:rPr>
          <w:rFonts w:ascii="Times New Roman" w:cs="Times New Roman" w:eastAsia="Times New Roman" w:hAnsi="Times New Roman"/>
          <w:sz w:val="20"/>
          <w:szCs w:val="20"/>
          <w:color w:val="auto"/>
        </w:rPr>
        <w:t>that the Plan is hereby amended effective as of January 1, 2024, without the need of any further action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in the Plan to the contrary, to limit the number of hardship withdrawals the BAC may direct the Trustee to make pursuant to Section 10.1 of the Plan to no more than one distribution per calendar quarter and for a minimum of $1,000 per withdrawal to a Participant on account of a hardship; and be it further</w:t>
      </w:r>
    </w:p>
    <w:p>
      <w:pPr>
        <w:spacing w:after="0" w:line="21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RESOLVED, </w:t>
      </w:r>
      <w:r>
        <w:rPr>
          <w:rFonts w:ascii="Times New Roman" w:cs="Times New Roman" w:eastAsia="Times New Roman" w:hAnsi="Times New Roman"/>
          <w:sz w:val="20"/>
          <w:szCs w:val="20"/>
          <w:color w:val="auto"/>
        </w:rPr>
        <w:t>that effective as of the date hereof NOC hereby ratifies and affirms the authority of and further directs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BAC or any member thereof on behalf of the Board to prepare the formal written document or documents, including a restatement of the Plan, to (i) memorialize the amendments for the safe harbor matching contribution eligibility for the Long-Term, Part-Time Employees and hardship restrictions adopted herein, and (ii) to amend the Plan to reflect the legal requirements applicable to the Plan under the SECURE Act and the SECURE 2.0 Act or any other legal and regulatory guidelines the BAC deems necessary or appropriate to adopt on or before the Plan Deadline; and be it finally</w:t>
      </w:r>
    </w:p>
    <w:p>
      <w:pPr>
        <w:spacing w:after="0" w:line="21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RESOLVED</w:t>
      </w:r>
      <w:r>
        <w:rPr>
          <w:rFonts w:ascii="Times New Roman" w:cs="Times New Roman" w:eastAsia="Times New Roman" w:hAnsi="Times New Roman"/>
          <w:sz w:val="20"/>
          <w:szCs w:val="20"/>
          <w:color w:val="auto"/>
        </w:rPr>
        <w:t>, that effective as of the date hereof the BAC and each member thereof are hereby authorized and directed,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name and on behalf of NOC, to do and perform all such further acts and things, to execute and/or deliver, and, wherever necessary or appropriate, file with the appropriate governmental authorities, all such agreements, documents, instruments, trust agreements and other papers, and to make all such payments, and to pay all such taxes and assessments, as any one or more of them, in their sole discretions, shall approve or deem to be necessary or appropriate in order to carry out, comply with and effectuate the foregoing resolutions, the taking of such actions to be conclusive evidence of the necessity or appropriateness thereof.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document may be executed in any number of counterparts, each of which shall be deemed to be an original, and all such counterparts together, shall constitute one and the same instrument.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29th day of December, 2023</w:t>
      </w:r>
    </w:p>
    <w:p>
      <w:pPr>
        <w:spacing w:after="0" w:line="200" w:lineRule="exact"/>
        <w:rPr>
          <w:sz w:val="20"/>
          <w:szCs w:val="20"/>
          <w:color w:val="auto"/>
        </w:rPr>
      </w:pPr>
    </w:p>
    <w:p>
      <w:pPr>
        <w:spacing w:after="0" w:line="286" w:lineRule="exact"/>
        <w:rPr>
          <w:sz w:val="20"/>
          <w:szCs w:val="20"/>
          <w:color w:val="auto"/>
        </w:rPr>
      </w:pPr>
    </w:p>
    <w:p>
      <w:pPr>
        <w:ind w:right="4700"/>
        <w:spacing w:after="0" w:line="277" w:lineRule="auto"/>
        <w:rPr>
          <w:sz w:val="20"/>
          <w:szCs w:val="20"/>
          <w:color w:val="auto"/>
        </w:rPr>
      </w:pPr>
      <w:r>
        <w:rPr>
          <w:rFonts w:ascii="Times New Roman" w:cs="Times New Roman" w:eastAsia="Times New Roman" w:hAnsi="Times New Roman"/>
          <w:sz w:val="20"/>
          <w:szCs w:val="20"/>
          <w:color w:val="auto"/>
        </w:rPr>
        <w:t>/s/ Bradford R. Turner /s/ Raj B. Dave ______________________________ ______________________________ Bradford R. Turner Raj B. Dave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Shay Zeemer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Shay Zeemer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9" w:right="339" w:bottom="1440" w:gutter="0" w:footer="0" w:header="0"/>
        </w:sectPr>
      </w:pPr>
    </w:p>
    <w:bookmarkStart w:id="106" w:name="page107"/>
    <w:bookmarkEnd w:id="106"/>
    <w:p>
      <w:pPr>
        <w:jc w:val="center"/>
        <w:spacing w:after="0"/>
        <w:rPr>
          <w:sz w:val="20"/>
          <w:szCs w:val="20"/>
          <w:color w:val="auto"/>
        </w:rPr>
      </w:pPr>
      <w:r>
        <w:rPr>
          <w:rFonts w:ascii="Calibri" w:cs="Calibri" w:eastAsia="Calibri" w:hAnsi="Calibri"/>
          <w:sz w:val="18"/>
          <w:szCs w:val="18"/>
          <w:color w:val="auto"/>
        </w:rPr>
        <w:t>Confdental</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NEWELL BRANDS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EMPLOYEE SAVINGS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AMENDMENT NO. 6 is made by Newell Operating Company, a Delaware corporation, (“</w:t>
      </w:r>
      <w:r>
        <w:rPr>
          <w:rFonts w:ascii="Times New Roman" w:cs="Times New Roman" w:eastAsia="Times New Roman" w:hAnsi="Times New Roman"/>
          <w:sz w:val="22"/>
          <w:szCs w:val="22"/>
          <w:b w:val="1"/>
          <w:bCs w:val="1"/>
          <w:color w:val="auto"/>
        </w:rPr>
        <w:t>NOC</w:t>
      </w:r>
      <w:r>
        <w:rPr>
          <w:rFonts w:ascii="Times New Roman" w:cs="Times New Roman" w:eastAsia="Times New Roman" w:hAnsi="Times New Roman"/>
          <w:sz w:val="22"/>
          <w:szCs w:val="22"/>
          <w:color w:val="auto"/>
        </w:rPr>
        <w:t>”) to the Newell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Brands Employee Savings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which was amended and restated effective January 1, 2018, and most recently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by the Board of Directors of NOC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effective as of January 1, 2024.</w:t>
      </w:r>
    </w:p>
    <w:p>
      <w:pPr>
        <w:spacing w:after="0" w:line="1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NOC sponsors and maintains the Plan for the exclusive benefit of eligible employees of NOC and of certain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its affiliates who are participating employers; and</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under Section 14.1 of the Plan, the Plan may be amended by resolution or written instrument approved by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and</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Board has determined that it is appropriate to amend the Plan, effective January 1, 2025, to (1) to provide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increased catch-up contribution limits for Plan Participants aged 60 through age 63 pursuant to the SECURE 2.0 Act of 2022, and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to provide for certain automatic withdrawals for Plan Participants;;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Board hereby amends the Plan as follows, to be effective as of January 1, 2025.</w:t>
      </w:r>
    </w:p>
    <w:p>
      <w:pPr>
        <w:spacing w:after="0" w:line="247"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1.9 is deleted in its entirety and the following new Section 1.9 inserted in lieu thereof:</w:t>
      </w:r>
    </w:p>
    <w:p>
      <w:pPr>
        <w:spacing w:after="0" w:line="121" w:lineRule="exact"/>
        <w:rPr>
          <w:sz w:val="20"/>
          <w:szCs w:val="20"/>
          <w:color w:val="auto"/>
        </w:rPr>
      </w:pPr>
    </w:p>
    <w:p>
      <w:pPr>
        <w:jc w:val="right"/>
        <w:ind w:left="660"/>
        <w:spacing w:after="0" w:line="256"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b w:val="1"/>
          <w:bCs w:val="1"/>
          <w:u w:val="single" w:color="auto"/>
          <w:color w:val="auto"/>
        </w:rPr>
        <w:t>“Catch-up Contribution”</w:t>
      </w:r>
      <w:r>
        <w:rPr>
          <w:rFonts w:ascii="Times New Roman" w:cs="Times New Roman" w:eastAsia="Times New Roman" w:hAnsi="Times New Roman"/>
          <w:sz w:val="22"/>
          <w:szCs w:val="22"/>
          <w:color w:val="auto"/>
        </w:rPr>
        <w:t xml:space="preserve"> means in the case of a Participant who will reach at least age 50 on or before the last day of a taxable year, such additional amount of Elective Deferrals that are permitted under Code Section 402(g)</w:t>
      </w:r>
    </w:p>
    <w:p>
      <w:pPr>
        <w:spacing w:after="0" w:line="1"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(1)(C) as a “catch-up contribution” pursuant to Code Section 414(v)(2)(B)(i), as modified to increase such amount by Code Section 414(v)(2)(E)(i) in the case of a Participant who will reach age 60, 61, 62, or 63, but not age 64, on or before the last day of the taxable year.</w:t>
      </w:r>
    </w:p>
    <w:p>
      <w:pPr>
        <w:sectPr>
          <w:pgSz w:w="11900" w:h="16838" w:orient="portrait"/>
          <w:cols w:equalWidth="0" w:num="1">
            <w:col w:w="11240"/>
          </w:cols>
          <w:pgMar w:left="320" w:top="166" w:right="339" w:bottom="1440" w:gutter="0" w:footer="0" w:header="0"/>
        </w:sectPr>
      </w:pPr>
    </w:p>
    <w:bookmarkStart w:id="107" w:name="page108"/>
    <w:bookmarkEnd w:id="107"/>
    <w:p>
      <w:pPr>
        <w:ind w:left="4544"/>
        <w:spacing w:after="0"/>
        <w:rPr>
          <w:sz w:val="20"/>
          <w:szCs w:val="20"/>
          <w:color w:val="auto"/>
        </w:rPr>
      </w:pPr>
      <w:r>
        <w:rPr>
          <w:rFonts w:ascii="Calibri" w:cs="Calibri" w:eastAsia="Calibri" w:hAnsi="Calibri"/>
          <w:sz w:val="18"/>
          <w:szCs w:val="18"/>
          <w:color w:val="auto"/>
        </w:rPr>
        <w:t>Confdental</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4" w:hanging="644"/>
        <w:spacing w:after="0"/>
        <w:tabs>
          <w:tab w:leader="none" w:pos="6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3.1(e) is deleted in its entirety and the following new Section 3.1(e) inserted in lieu thereof:</w:t>
      </w:r>
    </w:p>
    <w:p>
      <w:pPr>
        <w:spacing w:after="0" w:line="67"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Elective Deferral Limit.</w:t>
      </w:r>
      <w:r>
        <w:rPr>
          <w:rFonts w:ascii="Times New Roman" w:cs="Times New Roman" w:eastAsia="Times New Roman" w:hAnsi="Times New Roman"/>
          <w:sz w:val="21"/>
          <w:szCs w:val="21"/>
          <w:color w:val="auto"/>
        </w:rPr>
        <w:t xml:space="preserve"> A Participant’s Elective Deferrals, together with his other elective deferrals (as defined in Code Section 402(g)(3)) under any other plan sponsored or maintained by the Employer for any taxable year of the Participant, shall not exceed the amount set forth in Code Section 402(g)(1), as adjusted by the Secretary of the Treasury, plus the amount of any Catch-up Contribution. The BAC may limit a Participant’s Elective Deferrals as necessary to comply with the foregoing limits. Any amount contributed to the Plan by a Participating Employer on behalf of a Participant for any Plan Year that is in excess of the limitations set forth in this subsection, adjusted for earnings, gains, and losses allocable thereto, shall be paid directly to the Participant within the time period set forth in Code Section 402(g)(2). If a Participant has excess Elective Deferrals for a taxable year, the distribution of such excess shall be comprised first of Roth Contributions, if any, and then, to the extent an excess remains, from Pre-Tax Contributions.”</w:t>
      </w:r>
    </w:p>
    <w:p>
      <w:pPr>
        <w:spacing w:after="0" w:line="210" w:lineRule="exact"/>
        <w:rPr>
          <w:sz w:val="20"/>
          <w:szCs w:val="20"/>
          <w:color w:val="auto"/>
        </w:rPr>
      </w:pPr>
    </w:p>
    <w:p>
      <w:pPr>
        <w:ind w:left="644" w:hanging="644"/>
        <w:spacing w:after="0"/>
        <w:tabs>
          <w:tab w:leader="none" w:pos="6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11.1(a) is deleted in its entirety and the following new Section 3.1(e) inserted in lieu thereof:</w:t>
      </w:r>
    </w:p>
    <w:p>
      <w:pPr>
        <w:spacing w:after="0" w:line="247" w:lineRule="exact"/>
        <w:rPr>
          <w:sz w:val="20"/>
          <w:szCs w:val="20"/>
          <w:color w:val="auto"/>
        </w:rPr>
      </w:pPr>
    </w:p>
    <w:p>
      <w:pPr>
        <w:jc w:val="both"/>
        <w:ind w:left="644"/>
        <w:spacing w:after="0" w:line="250"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Normal and Optional Forms of Payment – Sub-Accounts Other Than Prior Pension Sub-Account</w:t>
      </w:r>
      <w:r>
        <w:rPr>
          <w:rFonts w:ascii="Times New Roman" w:cs="Times New Roman" w:eastAsia="Times New Roman" w:hAnsi="Times New Roman"/>
          <w:sz w:val="22"/>
          <w:szCs w:val="22"/>
          <w:color w:val="auto"/>
        </w:rPr>
        <w:t>. Subject to Section 11.3(b), a Participant shall be entitled to elect to receive the vested portion of the balance of his Account (other than his Prior Pension Sub-Account), as follows:</w:t>
      </w:r>
    </w:p>
    <w:p>
      <w:pPr>
        <w:spacing w:after="0" w:line="3" w:lineRule="exact"/>
        <w:rPr>
          <w:sz w:val="20"/>
          <w:szCs w:val="20"/>
          <w:color w:val="auto"/>
        </w:rPr>
      </w:pPr>
    </w:p>
    <w:p>
      <w:pPr>
        <w:ind w:left="1924" w:hanging="628"/>
        <w:spacing w:after="0"/>
        <w:tabs>
          <w:tab w:leader="none" w:pos="192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form of a lump sum payment;</w:t>
      </w:r>
    </w:p>
    <w:p>
      <w:pPr>
        <w:spacing w:after="0" w:line="3" w:lineRule="exact"/>
        <w:rPr>
          <w:rFonts w:ascii="Times New Roman" w:cs="Times New Roman" w:eastAsia="Times New Roman" w:hAnsi="Times New Roman"/>
          <w:sz w:val="22"/>
          <w:szCs w:val="22"/>
          <w:color w:val="auto"/>
        </w:rPr>
      </w:pPr>
    </w:p>
    <w:p>
      <w:pPr>
        <w:ind w:left="1944" w:hanging="648"/>
        <w:spacing w:after="0" w:line="249" w:lineRule="auto"/>
        <w:tabs>
          <w:tab w:leader="none" w:pos="193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partial distribution or distributions, provided that any such partial distribution shall be no less than $1,000; or</w:t>
      </w:r>
    </w:p>
    <w:p>
      <w:pPr>
        <w:spacing w:after="0" w:line="1" w:lineRule="exact"/>
        <w:rPr>
          <w:rFonts w:ascii="Times New Roman" w:cs="Times New Roman" w:eastAsia="Times New Roman" w:hAnsi="Times New Roman"/>
          <w:sz w:val="22"/>
          <w:szCs w:val="22"/>
          <w:color w:val="auto"/>
        </w:rPr>
      </w:pPr>
    </w:p>
    <w:p>
      <w:pPr>
        <w:jc w:val="both"/>
        <w:ind w:left="1944" w:hanging="648"/>
        <w:spacing w:after="0" w:line="246" w:lineRule="auto"/>
        <w:tabs>
          <w:tab w:leader="none" w:pos="194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 withdrawals initiated in accordance with the administrative procedures established under the Plan. There is no minimum distribution amount for the automatic withdrawal form of payment and the Participant may at any time make an election to prospectively cancel or change the automatic withdrawal. Automatic withdrawal payments will terminate upon the receipt of notice of the Participant’s death or exhaustion of available funds in the Participant’s Account. Participants selecting automatic withdrawals must (A) specify the distribution schedule as annual, semi-annual, quarterly or monthly, and (B) specify the basis for determining the amount of each automatic withdrawal based on a fixed time frame (decrement counter or period certain), fixed dollar amount, fixed percentage of the vested Account balance, or payments determined under the Plan’s administrative procedures intended to provide automatic withdrawals over the approximate life expectancy of the Participant.”</w:t>
      </w:r>
    </w:p>
    <w:p>
      <w:pPr>
        <w:spacing w:after="0" w:line="215"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11.7 is amended to add the following language to the end thereof:</w:t>
      </w:r>
    </w:p>
    <w:p>
      <w:pPr>
        <w:sectPr>
          <w:pgSz w:w="11900" w:h="16838" w:orient="portrait"/>
          <w:cols w:equalWidth="0" w:num="1">
            <w:col w:w="10584"/>
          </w:cols>
          <w:pgMar w:left="976" w:top="166" w:right="339" w:bottom="1440" w:gutter="0" w:footer="0" w:header="0"/>
        </w:sectPr>
      </w:pPr>
    </w:p>
    <w:bookmarkStart w:id="108" w:name="page109"/>
    <w:bookmarkEnd w:id="108"/>
    <w:p>
      <w:pPr>
        <w:jc w:val="center"/>
        <w:spacing w:after="0"/>
        <w:rPr>
          <w:sz w:val="20"/>
          <w:szCs w:val="20"/>
          <w:color w:val="auto"/>
        </w:rPr>
      </w:pPr>
      <w:r>
        <w:rPr>
          <w:rFonts w:ascii="Calibri" w:cs="Calibri" w:eastAsia="Calibri" w:hAnsi="Calibri"/>
          <w:sz w:val="18"/>
          <w:szCs w:val="18"/>
          <w:color w:val="auto"/>
        </w:rPr>
        <w:t>Confdental</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300"/>
        <w:spacing w:after="0" w:line="247" w:lineRule="auto"/>
        <w:rPr>
          <w:sz w:val="20"/>
          <w:szCs w:val="20"/>
          <w:color w:val="auto"/>
        </w:rPr>
      </w:pPr>
      <w:r>
        <w:rPr>
          <w:rFonts w:ascii="Times New Roman" w:cs="Times New Roman" w:eastAsia="Times New Roman" w:hAnsi="Times New Roman"/>
          <w:sz w:val="22"/>
          <w:szCs w:val="22"/>
          <w:color w:val="auto"/>
        </w:rPr>
        <w:t>“A Participant may also request that the required minimum distributions be made in the form of automatic withdrawals initiated in accordance with the administrative procedures established under the Plan. The Participant may cancel the automatic withdrawals for any Plan Year on a prospective basis in accordance with the Plan’s administrative procedures; provided the required minimum distribution provisions of this Section 11.7 shall continue to apply to the Participant’s remaining interest in the Plan. Automatic withdrawals shall automatically cease upon receipt of notice of the Participant’s death and the Participant’s remaining Account shall be distributed in accordance with Article XII or as otherwise provided in the Plan for the Participant’s Prior Plan Pension Sub-Account. Participants selecting automatic withdrawals under this Section 11.7 must (A) specify the distribution schedule as annual, semi-annual, quarterly, monthly, semi-monthly or bi-weekly, and (B) specify the basis for determining the amount of each automatic withdrawal based on a fixed time frame (decrement counter or period certain), fixed dollar amount, fixed percentage of the vested Account balance, or payments determined under the Plan’s administrative procedures intended to provide automatic withdrawals over the approximate life expectancy of the Participant.”</w:t>
      </w:r>
    </w:p>
    <w:p>
      <w:pPr>
        <w:spacing w:after="0" w:line="314" w:lineRule="exact"/>
        <w:rPr>
          <w:sz w:val="20"/>
          <w:szCs w:val="20"/>
          <w:color w:val="auto"/>
        </w:rPr>
      </w:pPr>
    </w:p>
    <w:p>
      <w:pPr>
        <w:ind w:firstLine="656"/>
        <w:spacing w:after="0" w:line="480"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amended above, the Plan shall remain unchanged and, as amended herein, shall continue in full force and effect.</w:t>
      </w: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No. 6 to the Plan is effective January 1, 2025.</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NOC has caused this Amendment No. 6 to the Plan to be executed by its duly authorized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as of this 30th day of December, 2024.</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Newell Operating Company</w:t>
      </w:r>
    </w:p>
    <w:p>
      <w:pPr>
        <w:spacing w:after="0" w:line="368"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By: /s/</w:t>
      </w:r>
      <w:r>
        <w:rPr>
          <w:sz w:val="20"/>
          <w:szCs w:val="20"/>
          <w:color w:val="auto"/>
        </w:rPr>
        <w:tab/>
      </w:r>
      <w:r>
        <w:rPr>
          <w:rFonts w:ascii="Times New Roman" w:cs="Times New Roman" w:eastAsia="Times New Roman" w:hAnsi="Times New Roman"/>
          <w:sz w:val="21"/>
          <w:szCs w:val="21"/>
          <w:color w:val="auto"/>
        </w:rPr>
        <w:t>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-13970</wp:posOffset>
            </wp:positionV>
            <wp:extent cx="14617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 Bradford R. Turner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Chief Legal and Administrative Officer and</w:t>
      </w: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Corporate Secretary</w:t>
      </w:r>
    </w:p>
    <w:p>
      <w:pPr>
        <w:sectPr>
          <w:pgSz w:w="11900" w:h="16838" w:orient="portrait"/>
          <w:cols w:equalWidth="0" w:num="1">
            <w:col w:w="11240"/>
          </w:cols>
          <w:pgMar w:left="320" w:top="166"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EMPLOYMENT SECURITY AGREEMENTS</w:t>
      </w:r>
    </w:p>
    <w:p>
      <w:pPr>
        <w:spacing w:after="0" w:line="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5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232323"/>
        </w:rPr>
        <w:t>Effective as of</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232323"/>
        </w:rPr>
        <w:t>December 1, 2023</w:t>
      </w:r>
    </w:p>
    <w:p>
      <w:pPr>
        <w:sectPr>
          <w:pgSz w:w="11900" w:h="16838" w:orient="portrait"/>
          <w:cols w:equalWidth="0" w:num="1">
            <w:col w:w="10120"/>
          </w:cols>
          <w:pgMar w:left="1440" w:top="115" w:right="339" w:bottom="1440" w:gutter="0" w:footer="0" w:header="0"/>
        </w:sectPr>
      </w:pPr>
    </w:p>
    <w:bookmarkStart w:id="110" w:name="page111"/>
    <w:bookmarkEnd w:id="110"/>
    <w:p>
      <w:pPr>
        <w:spacing w:after="0" w:line="1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2B2B2B"/>
        </w:rPr>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  TRUST FUND</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iii</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IV.</w:t>
            </w:r>
          </w:p>
        </w:tc>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PAYMENTS TO COMPANY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vii</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VI.</w:t>
            </w:r>
          </w:p>
        </w:tc>
        <w:tc>
          <w:tcPr>
            <w:tcW w:w="8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OF THE TRUST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viii</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VII.</w:t>
            </w:r>
          </w:p>
        </w:tc>
        <w:tc>
          <w:tcPr>
            <w:tcW w:w="8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ACCOUNTING BY THE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viii</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VIII.</w:t>
            </w:r>
          </w:p>
        </w:tc>
        <w:tc>
          <w:tcPr>
            <w:tcW w:w="8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RESPONSIBILITY AND INDEMNIFICATION OF THE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ix</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IX.</w:t>
            </w:r>
          </w:p>
        </w:tc>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AMENDMENTS, ETC., TO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xii</w:t>
            </w:r>
          </w:p>
        </w:tc>
      </w:tr>
      <w:tr>
        <w:trPr>
          <w:trHeight w:val="283"/>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  REPLACEMENT OF THE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xii</w:t>
            </w:r>
          </w:p>
        </w:tc>
      </w:tr>
      <w:tr>
        <w:trPr>
          <w:trHeight w:val="283"/>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XI.  AMENDMENT OR TERMINATION OF THE TRUST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xii</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XII.</w:t>
            </w:r>
          </w:p>
        </w:tc>
        <w:tc>
          <w:tcPr>
            <w:tcW w:w="8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SPECIAL DISTRIBUTIONS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xiii</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XIII.</w:t>
            </w:r>
          </w:p>
        </w:tc>
        <w:tc>
          <w:tcPr>
            <w:tcW w:w="8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GENERAL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xiv</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8"/>
              </w:rPr>
              <w:t>XIV.</w:t>
            </w:r>
          </w:p>
        </w:tc>
        <w:tc>
          <w:tcPr>
            <w:tcW w:w="8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 IN CONTROL</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xv</w:t>
            </w:r>
          </w:p>
        </w:tc>
      </w:tr>
      <w:tr>
        <w:trPr>
          <w:trHeight w:val="284"/>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XV.</w:t>
            </w:r>
          </w:p>
        </w:tc>
        <w:tc>
          <w:tcPr>
            <w:tcW w:w="8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xvii</w:t>
            </w:r>
          </w:p>
        </w:tc>
      </w:tr>
    </w:tbl>
    <w:p>
      <w:pPr>
        <w:sectPr>
          <w:pgSz w:w="11900" w:h="16838" w:orient="portrait"/>
          <w:cols w:equalWidth="0" w:num="1">
            <w:col w:w="11040"/>
          </w:cols>
          <w:pgMar w:left="480" w:top="1440" w:right="37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color w:val="auto"/>
        </w:rPr>
        <w:t>NEWELL BRANDS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EMPLOYMENT SECURITY AGREEMENTS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SEVERANCE PLAN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652"/>
        <w:spacing w:after="0" w:line="262" w:lineRule="auto"/>
        <w:rPr>
          <w:sz w:val="20"/>
          <w:szCs w:val="20"/>
          <w:color w:val="auto"/>
        </w:rPr>
      </w:pPr>
      <w:r>
        <w:rPr>
          <w:rFonts w:ascii="Times New Roman" w:cs="Times New Roman" w:eastAsia="Times New Roman" w:hAnsi="Times New Roman"/>
          <w:sz w:val="21"/>
          <w:szCs w:val="21"/>
          <w:color w:val="2A2A2A"/>
        </w:rPr>
        <w:t xml:space="preserve">This Trust Agreement (the </w:t>
      </w:r>
      <w:r>
        <w:rPr>
          <w:rFonts w:ascii="Times New Roman" w:cs="Times New Roman" w:eastAsia="Times New Roman" w:hAnsi="Times New Roman"/>
          <w:sz w:val="21"/>
          <w:szCs w:val="21"/>
          <w:b w:val="1"/>
          <w:bCs w:val="1"/>
          <w:color w:val="2A2A2A"/>
        </w:rPr>
        <w:t>"Trust Agreement")</w:t>
      </w:r>
      <w:r>
        <w:rPr>
          <w:rFonts w:ascii="Times New Roman" w:cs="Times New Roman" w:eastAsia="Times New Roman" w:hAnsi="Times New Roman"/>
          <w:sz w:val="21"/>
          <w:szCs w:val="21"/>
          <w:color w:val="2A2A2A"/>
        </w:rPr>
        <w:t xml:space="preserve"> was entered into and originally made effective as of the </w:t>
      </w:r>
      <w:r>
        <w:rPr>
          <w:rFonts w:ascii="Times New Roman" w:cs="Times New Roman" w:eastAsia="Times New Roman" w:hAnsi="Times New Roman"/>
          <w:sz w:val="21"/>
          <w:szCs w:val="21"/>
          <w:color w:val="3F3F3F"/>
        </w:rPr>
        <w:t>1st</w:t>
      </w:r>
      <w:r>
        <w:rPr>
          <w:rFonts w:ascii="Times New Roman" w:cs="Times New Roman" w:eastAsia="Times New Roman" w:hAnsi="Times New Roman"/>
          <w:sz w:val="21"/>
          <w:szCs w:val="21"/>
          <w:color w:val="2A2A2A"/>
        </w:rPr>
        <w:t xml:space="preserve"> day of June, 2013, as the Newell Rubbermaid Inc. Employment Security Agreements Trust Agreement, by and between Newell Brands Inc. (f/k/a Newell Rubbermaid Inc.) a Delaware corporation (the </w:t>
      </w:r>
      <w:r>
        <w:rPr>
          <w:rFonts w:ascii="Times New Roman" w:cs="Times New Roman" w:eastAsia="Times New Roman" w:hAnsi="Times New Roman"/>
          <w:sz w:val="21"/>
          <w:szCs w:val="21"/>
          <w:b w:val="1"/>
          <w:bCs w:val="1"/>
          <w:color w:val="2A2A2A"/>
        </w:rPr>
        <w:t>"Company"),</w:t>
      </w:r>
      <w:r>
        <w:rPr>
          <w:rFonts w:ascii="Times New Roman" w:cs="Times New Roman" w:eastAsia="Times New Roman" w:hAnsi="Times New Roman"/>
          <w:sz w:val="21"/>
          <w:szCs w:val="21"/>
          <w:color w:val="2A2A2A"/>
        </w:rPr>
        <w:t xml:space="preserve"> and The Northern Trust Company, an Illinois corporation (the </w:t>
      </w:r>
      <w:r>
        <w:rPr>
          <w:rFonts w:ascii="Times New Roman" w:cs="Times New Roman" w:eastAsia="Times New Roman" w:hAnsi="Times New Roman"/>
          <w:sz w:val="21"/>
          <w:szCs w:val="21"/>
          <w:b w:val="1"/>
          <w:bCs w:val="1"/>
          <w:color w:val="2A2A2A"/>
        </w:rPr>
        <w:t>"Trustee").</w:t>
      </w:r>
      <w:r>
        <w:rPr>
          <w:rFonts w:ascii="Times New Roman" w:cs="Times New Roman" w:eastAsia="Times New Roman" w:hAnsi="Times New Roman"/>
          <w:sz w:val="21"/>
          <w:szCs w:val="21"/>
          <w:color w:val="2A2A2A"/>
        </w:rPr>
        <w:t xml:space="preserve"> The Trust Agreement is hereby renamed the Newell Brands Inc. Employment Security Agreements</w:t>
      </w:r>
    </w:p>
    <w:p>
      <w:pPr>
        <w:spacing w:after="0" w:line="230" w:lineRule="auto"/>
        <w:rPr>
          <w:sz w:val="20"/>
          <w:szCs w:val="20"/>
          <w:color w:val="auto"/>
        </w:rPr>
      </w:pPr>
      <w:r>
        <w:rPr>
          <w:rFonts w:ascii="Times New Roman" w:cs="Times New Roman" w:eastAsia="Times New Roman" w:hAnsi="Times New Roman"/>
          <w:sz w:val="22"/>
          <w:szCs w:val="22"/>
          <w:color w:val="2A2A2A"/>
        </w:rPr>
        <w:t>and Executive Severance Plan Trust Agreement and</w:t>
      </w:r>
    </w:p>
    <w:p>
      <w:pPr>
        <w:spacing w:after="0"/>
        <w:rPr>
          <w:sz w:val="20"/>
          <w:szCs w:val="20"/>
          <w:color w:val="auto"/>
        </w:rPr>
      </w:pPr>
      <w:r>
        <w:rPr>
          <w:rFonts w:ascii="Times New Roman" w:cs="Times New Roman" w:eastAsia="Times New Roman" w:hAnsi="Times New Roman"/>
          <w:sz w:val="22"/>
          <w:szCs w:val="22"/>
          <w:color w:val="2A2A2A"/>
        </w:rPr>
        <w:t>amended and restated in its entirety effective as of December 1, 2023.</w:t>
      </w:r>
    </w:p>
    <w:p>
      <w:pPr>
        <w:spacing w:after="0" w:line="20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1"/>
          <w:szCs w:val="21"/>
          <w:color w:val="auto"/>
        </w:rPr>
        <w:t xml:space="preserve">WHEREAS, the Company, or an affiliate of the Company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xml:space="preserve"> has entered into (i) certain agreements known as Employment Security Agreements or ESAs (referred to herein as an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or the </w:t>
      </w:r>
      <w:r>
        <w:rPr>
          <w:rFonts w:ascii="Times New Roman" w:cs="Times New Roman" w:eastAsia="Times New Roman" w:hAnsi="Times New Roman"/>
          <w:sz w:val="21"/>
          <w:szCs w:val="21"/>
          <w:b w:val="1"/>
          <w:bCs w:val="1"/>
          <w:color w:val="auto"/>
        </w:rPr>
        <w:t>“Agreements”</w:t>
      </w:r>
      <w:r>
        <w:rPr>
          <w:rFonts w:ascii="Times New Roman" w:cs="Times New Roman" w:eastAsia="Times New Roman" w:hAnsi="Times New Roman"/>
          <w:sz w:val="21"/>
          <w:szCs w:val="21"/>
          <w:color w:val="auto"/>
        </w:rPr>
        <w:t xml:space="preserve">) pursuant to which the Company has agreed to provide the employees covered by such Agreements (the </w:t>
      </w:r>
      <w:r>
        <w:rPr>
          <w:rFonts w:ascii="Times New Roman" w:cs="Times New Roman" w:eastAsia="Times New Roman" w:hAnsi="Times New Roman"/>
          <w:sz w:val="21"/>
          <w:szCs w:val="21"/>
          <w:b w:val="1"/>
          <w:bCs w:val="1"/>
          <w:color w:val="auto"/>
        </w:rPr>
        <w:t>"ESA Participants")</w:t>
      </w:r>
      <w:r>
        <w:rPr>
          <w:rFonts w:ascii="Times New Roman" w:cs="Times New Roman" w:eastAsia="Times New Roman" w:hAnsi="Times New Roman"/>
          <w:sz w:val="21"/>
          <w:szCs w:val="21"/>
          <w:color w:val="auto"/>
        </w:rPr>
        <w:t xml:space="preserve"> with certain severance benefits under certain circumstances in connection with a Change in Control of the Company, and (ii) the Newell Brands Executive Severance Plan (the “</w:t>
      </w:r>
      <w:r>
        <w:rPr>
          <w:rFonts w:ascii="Times New Roman" w:cs="Times New Roman" w:eastAsia="Times New Roman" w:hAnsi="Times New Roman"/>
          <w:sz w:val="21"/>
          <w:szCs w:val="21"/>
          <w:b w:val="1"/>
          <w:bCs w:val="1"/>
          <w:color w:val="auto"/>
        </w:rPr>
        <w:t>Executive Severance Plan</w:t>
      </w:r>
      <w:r>
        <w:rPr>
          <w:rFonts w:ascii="Times New Roman" w:cs="Times New Roman" w:eastAsia="Times New Roman" w:hAnsi="Times New Roman"/>
          <w:sz w:val="21"/>
          <w:szCs w:val="21"/>
          <w:color w:val="auto"/>
        </w:rPr>
        <w:t xml:space="preserve">”) pursuant to which </w:t>
      </w:r>
      <w:r>
        <w:rPr>
          <w:rFonts w:ascii="Times New Roman" w:cs="Times New Roman" w:eastAsia="Times New Roman" w:hAnsi="Times New Roman"/>
          <w:sz w:val="21"/>
          <w:szCs w:val="21"/>
          <w:color w:val="2A2A2A"/>
        </w:rPr>
        <w:t>Newell Operating Company (“</w:t>
      </w:r>
      <w:r>
        <w:rPr>
          <w:rFonts w:ascii="Times New Roman" w:cs="Times New Roman" w:eastAsia="Times New Roman" w:hAnsi="Times New Roman"/>
          <w:sz w:val="21"/>
          <w:szCs w:val="21"/>
          <w:b w:val="1"/>
          <w:bCs w:val="1"/>
          <w:color w:val="2A2A2A"/>
        </w:rPr>
        <w:t>NOC</w:t>
      </w:r>
      <w:r>
        <w:rPr>
          <w:rFonts w:ascii="Times New Roman" w:cs="Times New Roman" w:eastAsia="Times New Roman" w:hAnsi="Times New Roman"/>
          <w:sz w:val="21"/>
          <w:szCs w:val="21"/>
          <w:color w:val="2A2A2A"/>
        </w:rPr>
        <w:t>”),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A2A2A"/>
        </w:rPr>
        <w:t xml:space="preserve">Delaware corporation and wholly-owned subsidiary of the Company, </w:t>
      </w:r>
      <w:r>
        <w:rPr>
          <w:rFonts w:ascii="Times New Roman" w:cs="Times New Roman" w:eastAsia="Times New Roman" w:hAnsi="Times New Roman"/>
          <w:sz w:val="21"/>
          <w:szCs w:val="21"/>
          <w:color w:val="000000"/>
        </w:rPr>
        <w:t>has agreed to provide certain Executives covered by the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000000"/>
        </w:rPr>
        <w:t>Executive Severance Plan (the “</w:t>
      </w:r>
      <w:r>
        <w:rPr>
          <w:rFonts w:ascii="Times New Roman" w:cs="Times New Roman" w:eastAsia="Times New Roman" w:hAnsi="Times New Roman"/>
          <w:sz w:val="21"/>
          <w:szCs w:val="21"/>
          <w:b w:val="1"/>
          <w:bCs w:val="1"/>
          <w:color w:val="000000"/>
        </w:rPr>
        <w:t>Executive Severance Plan Participants</w:t>
      </w:r>
      <w:r>
        <w:rPr>
          <w:rFonts w:ascii="Times New Roman" w:cs="Times New Roman" w:eastAsia="Times New Roman" w:hAnsi="Times New Roman"/>
          <w:sz w:val="21"/>
          <w:szCs w:val="21"/>
          <w:color w:val="000000"/>
        </w:rPr>
        <w:t>”) with certain severance benefits under certain circumstances in connection with a Change in Control of the Company (hereinafter the ESA Participants and Executive Severance Plan Participants shall collectively be referred to as the “</w:t>
      </w:r>
      <w:r>
        <w:rPr>
          <w:rFonts w:ascii="Times New Roman" w:cs="Times New Roman" w:eastAsia="Times New Roman" w:hAnsi="Times New Roman"/>
          <w:sz w:val="21"/>
          <w:szCs w:val="21"/>
          <w:b w:val="1"/>
          <w:bCs w:val="1"/>
          <w:color w:val="000000"/>
        </w:rPr>
        <w:t>Participants</w:t>
      </w:r>
      <w:r>
        <w:rPr>
          <w:rFonts w:ascii="Times New Roman" w:cs="Times New Roman" w:eastAsia="Times New Roman" w:hAnsi="Times New Roman"/>
          <w:sz w:val="21"/>
          <w:szCs w:val="21"/>
          <w:color w:val="000000"/>
        </w:rPr>
        <w:t>” and each a “</w:t>
      </w:r>
      <w:r>
        <w:rPr>
          <w:rFonts w:ascii="Times New Roman" w:cs="Times New Roman" w:eastAsia="Times New Roman" w:hAnsi="Times New Roman"/>
          <w:sz w:val="21"/>
          <w:szCs w:val="21"/>
          <w:b w:val="1"/>
          <w:bCs w:val="1"/>
          <w:color w:val="000000"/>
        </w:rPr>
        <w:t>Participant</w:t>
      </w:r>
      <w:r>
        <w:rPr>
          <w:rFonts w:ascii="Times New Roman" w:cs="Times New Roman" w:eastAsia="Times New Roman" w:hAnsi="Times New Roman"/>
          <w:sz w:val="21"/>
          <w:szCs w:val="21"/>
          <w:color w:val="000000"/>
        </w:rPr>
        <w:t xml:space="preserve">” and the entity for which the Participants provided services, including the Company, shall be referred to as the </w:t>
      </w:r>
      <w:r>
        <w:rPr>
          <w:rFonts w:ascii="Times New Roman" w:cs="Times New Roman" w:eastAsia="Times New Roman" w:hAnsi="Times New Roman"/>
          <w:sz w:val="21"/>
          <w:szCs w:val="21"/>
          <w:b w:val="1"/>
          <w:bCs w:val="1"/>
          <w:color w:val="000000"/>
        </w:rPr>
        <w:t>"Employer Company")</w:t>
      </w:r>
      <w:r>
        <w:rPr>
          <w:rFonts w:ascii="Times New Roman" w:cs="Times New Roman" w:eastAsia="Times New Roman" w:hAnsi="Times New Roman"/>
          <w:sz w:val="21"/>
          <w:szCs w:val="21"/>
          <w:color w:val="000000"/>
        </w:rPr>
        <w: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WHEREAS, pursuant to the terms of the Agreements and the Executive Severance Plan, not later than five days following a Change in Control, the Company shall establish an irrevocable grantor trust and make a contribution (or cause a contribution to be made) thereto in an amount equal to the cash payments that would be made under the Agreements and as required under the Executive Severance Plan (including a recalculation and additional contributions, as needed, at six-month intervals to fully fund the benefits under the Executive Severance Plan));</w:t>
      </w:r>
    </w:p>
    <w:p>
      <w:pPr>
        <w:spacing w:after="0" w:line="179" w:lineRule="exact"/>
        <w:rPr>
          <w:sz w:val="20"/>
          <w:szCs w:val="20"/>
          <w:color w:val="auto"/>
        </w:rPr>
      </w:pPr>
    </w:p>
    <w:p>
      <w:pPr>
        <w:ind w:right="180" w:firstLine="656"/>
        <w:spacing w:after="0" w:line="256" w:lineRule="auto"/>
        <w:rPr>
          <w:sz w:val="20"/>
          <w:szCs w:val="20"/>
          <w:color w:val="auto"/>
        </w:rPr>
      </w:pPr>
      <w:r>
        <w:rPr>
          <w:rFonts w:ascii="Times New Roman" w:cs="Times New Roman" w:eastAsia="Times New Roman" w:hAnsi="Times New Roman"/>
          <w:sz w:val="22"/>
          <w:szCs w:val="22"/>
          <w:color w:val="auto"/>
        </w:rPr>
        <w:t xml:space="preserve">WHEREAS, the Company or its Affiliates may incur liability under the terms of such Agreements and the Executive Severance Plan with respect to the cash severance payable thereunder (the amounts so payable are collectively referred to as the </w:t>
      </w: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to the Participants, and/or their respective beneficiaries (the Participants and their respective beneficiaries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collectively referred to as the </w:t>
      </w:r>
      <w:r>
        <w:rPr>
          <w:rFonts w:ascii="Times New Roman" w:cs="Times New Roman" w:eastAsia="Times New Roman" w:hAnsi="Times New Roman"/>
          <w:sz w:val="22"/>
          <w:szCs w:val="22"/>
          <w:b w:val="1"/>
          <w:bCs w:val="1"/>
          <w:color w:val="auto"/>
        </w:rPr>
        <w:t>"Trust Beneficiaries"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226" w:lineRule="exact"/>
        <w:rPr>
          <w:sz w:val="20"/>
          <w:szCs w:val="20"/>
          <w:color w:val="auto"/>
        </w:rPr>
      </w:pPr>
    </w:p>
    <w:p>
      <w:pPr>
        <w:ind w:right="220" w:firstLine="660"/>
        <w:spacing w:after="0" w:line="275" w:lineRule="auto"/>
        <w:rPr>
          <w:sz w:val="20"/>
          <w:szCs w:val="20"/>
          <w:color w:val="auto"/>
        </w:rPr>
      </w:pPr>
      <w:r>
        <w:rPr>
          <w:rFonts w:ascii="Times New Roman" w:cs="Times New Roman" w:eastAsia="Times New Roman" w:hAnsi="Times New Roman"/>
          <w:sz w:val="22"/>
          <w:szCs w:val="22"/>
          <w:color w:val="2A2A2A"/>
        </w:rPr>
        <w:t xml:space="preserve">WHEREAS, pursuant to this Trust Agreement the Company has established a trust (the </w:t>
      </w:r>
      <w:r>
        <w:rPr>
          <w:rFonts w:ascii="Times New Roman" w:cs="Times New Roman" w:eastAsia="Times New Roman" w:hAnsi="Times New Roman"/>
          <w:sz w:val="22"/>
          <w:szCs w:val="22"/>
          <w:b w:val="1"/>
          <w:bCs w:val="1"/>
          <w:color w:val="2A2A2A"/>
        </w:rPr>
        <w:t>"Trust")</w:t>
      </w:r>
      <w:r>
        <w:rPr>
          <w:rFonts w:ascii="Times New Roman" w:cs="Times New Roman" w:eastAsia="Times New Roman" w:hAnsi="Times New Roman"/>
          <w:sz w:val="22"/>
          <w:szCs w:val="22"/>
          <w:color w:val="2A2A2A"/>
        </w:rPr>
        <w:t xml:space="preserve"> and has transferred or will transfer to the Trust assets which shall be held subject to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2" w:right="339" w:bottom="1440" w:gutter="0" w:footer="0" w:header="0"/>
        </w:sectPr>
      </w:pPr>
    </w:p>
    <w:bookmarkStart w:id="112" w:name="page113"/>
    <w:bookmarkEnd w:id="112"/>
    <w:p>
      <w:pPr>
        <w:ind w:right="40"/>
        <w:spacing w:after="0" w:line="256" w:lineRule="auto"/>
        <w:rPr>
          <w:sz w:val="20"/>
          <w:szCs w:val="20"/>
          <w:color w:val="auto"/>
        </w:rPr>
      </w:pPr>
      <w:r>
        <w:rPr>
          <w:rFonts w:ascii="Times New Roman" w:cs="Times New Roman" w:eastAsia="Times New Roman" w:hAnsi="Times New Roman"/>
          <w:sz w:val="22"/>
          <w:szCs w:val="22"/>
          <w:color w:val="2A2A2A"/>
        </w:rPr>
        <w:t>claims of the general creditors of each Employer Company to the extent set forth in Article III until (i) paid in full to all Trust Beneficiaries as Benefits in such manner and as specified in this Trust Agreement, unless a respective Employer Company is Insolvent (as that term is defined below) at the time that such Benefits become payable or (ii) otherwise disposed of pursuant to the terms of this Trust Agreement; and</w:t>
      </w:r>
    </w:p>
    <w:p>
      <w:pPr>
        <w:spacing w:after="0" w:line="199" w:lineRule="exact"/>
        <w:rPr>
          <w:sz w:val="20"/>
          <w:szCs w:val="20"/>
          <w:color w:val="auto"/>
        </w:rPr>
      </w:pPr>
    </w:p>
    <w:p>
      <w:pPr>
        <w:ind w:right="40" w:firstLine="657"/>
        <w:spacing w:after="0" w:line="259" w:lineRule="auto"/>
        <w:rPr>
          <w:sz w:val="20"/>
          <w:szCs w:val="20"/>
          <w:color w:val="auto"/>
        </w:rPr>
      </w:pPr>
      <w:r>
        <w:rPr>
          <w:rFonts w:ascii="Times New Roman" w:cs="Times New Roman" w:eastAsia="Times New Roman" w:hAnsi="Times New Roman"/>
          <w:sz w:val="22"/>
          <w:szCs w:val="22"/>
          <w:color w:val="2A2A2A"/>
        </w:rPr>
        <w:t xml:space="preserve">WHEREAS, an Employer Company shall be considered </w:t>
      </w:r>
      <w:r>
        <w:rPr>
          <w:rFonts w:ascii="Times New Roman" w:cs="Times New Roman" w:eastAsia="Times New Roman" w:hAnsi="Times New Roman"/>
          <w:sz w:val="22"/>
          <w:szCs w:val="22"/>
          <w:b w:val="1"/>
          <w:bCs w:val="1"/>
          <w:color w:val="2A2A2A"/>
        </w:rPr>
        <w:t>"Insolvent"</w:t>
      </w:r>
      <w:r>
        <w:rPr>
          <w:rFonts w:ascii="Times New Roman" w:cs="Times New Roman" w:eastAsia="Times New Roman" w:hAnsi="Times New Roman"/>
          <w:sz w:val="22"/>
          <w:szCs w:val="22"/>
          <w:color w:val="2A2A2A"/>
        </w:rPr>
        <w:t xml:space="preserve"> for purposes of this Trust Agreement at such time as the Employer Company (i) is subject to a pending proceeding as a debtor under the United States Bankruptcy Code, as amended from time to time, or (ii) is unable to pay its debts as they become due,</w:t>
      </w:r>
    </w:p>
    <w:p>
      <w:pPr>
        <w:spacing w:after="0" w:line="19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22"/>
          <w:szCs w:val="22"/>
          <w:color w:val="2A2A2A"/>
        </w:rPr>
        <w:t>NOW, THEREFORE, the parties establish the Trust and agree that the Trust shall be comprised, held and disposed of as follows:</w:t>
      </w:r>
    </w:p>
    <w:p>
      <w:pPr>
        <w:spacing w:after="0" w:line="171" w:lineRule="exact"/>
        <w:rPr>
          <w:sz w:val="20"/>
          <w:szCs w:val="20"/>
          <w:color w:val="auto"/>
        </w:rPr>
      </w:pPr>
    </w:p>
    <w:p>
      <w:pPr>
        <w:ind w:left="4960" w:hanging="263"/>
        <w:spacing w:after="0"/>
        <w:tabs>
          <w:tab w:leader="none" w:pos="4960" w:val="left"/>
        </w:tabs>
        <w:numPr>
          <w:ilvl w:val="0"/>
          <w:numId w:val="45"/>
        </w:numPr>
        <w:rPr>
          <w:rFonts w:ascii="Times New Roman" w:cs="Times New Roman" w:eastAsia="Times New Roman" w:hAnsi="Times New Roman"/>
          <w:sz w:val="22"/>
          <w:szCs w:val="22"/>
          <w:color w:val="2A2A2A"/>
        </w:rPr>
      </w:pPr>
      <w:r>
        <w:rPr>
          <w:rFonts w:ascii="Times New Roman" w:cs="Times New Roman" w:eastAsia="Times New Roman" w:hAnsi="Times New Roman"/>
          <w:sz w:val="22"/>
          <w:szCs w:val="22"/>
          <w:u w:val="single" w:color="auto"/>
          <w:color w:val="2A2A2A"/>
        </w:rPr>
        <w:t>TRUST FUND</w:t>
      </w:r>
    </w:p>
    <w:p>
      <w:pPr>
        <w:spacing w:after="0" w:line="247" w:lineRule="exact"/>
        <w:rPr>
          <w:sz w:val="20"/>
          <w:szCs w:val="20"/>
          <w:color w:val="auto"/>
        </w:rPr>
      </w:pPr>
    </w:p>
    <w:p>
      <w:pPr>
        <w:ind w:right="260" w:firstLine="655"/>
        <w:spacing w:after="0" w:line="271" w:lineRule="auto"/>
        <w:rPr>
          <w:sz w:val="20"/>
          <w:szCs w:val="20"/>
          <w:color w:val="auto"/>
        </w:rPr>
      </w:pPr>
      <w:r>
        <w:rPr>
          <w:rFonts w:ascii="Times New Roman" w:cs="Times New Roman" w:eastAsia="Times New Roman" w:hAnsi="Times New Roman"/>
          <w:sz w:val="22"/>
          <w:szCs w:val="22"/>
          <w:color w:val="2A2A2A"/>
        </w:rPr>
        <w:t>1.1 This Trust shall be revocable; provided, however, it shall become irrevocable upon a Change in Control of the Company, as defined in Article XIV.</w:t>
      </w:r>
    </w:p>
    <w:p>
      <w:pPr>
        <w:spacing w:after="0" w:line="185" w:lineRule="exact"/>
        <w:rPr>
          <w:sz w:val="20"/>
          <w:szCs w:val="20"/>
          <w:color w:val="auto"/>
        </w:rPr>
      </w:pPr>
    </w:p>
    <w:p>
      <w:pPr>
        <w:ind w:right="40" w:firstLine="660"/>
        <w:spacing w:after="0" w:line="272" w:lineRule="auto"/>
        <w:rPr>
          <w:sz w:val="20"/>
          <w:szCs w:val="20"/>
          <w:color w:val="auto"/>
        </w:rPr>
      </w:pPr>
      <w:r>
        <w:rPr>
          <w:rFonts w:ascii="Times New Roman" w:cs="Times New Roman" w:eastAsia="Times New Roman" w:hAnsi="Times New Roman"/>
          <w:sz w:val="21"/>
          <w:szCs w:val="21"/>
          <w:color w:val="2A2A2A"/>
        </w:rPr>
        <w:t>1.2 Subject to the claims of general creditors to the extent set forth in Article III, the Company shall from time to time deposit with the Trustee, in trust, cash or other property acceptable to the Trustee, including a letter of credit, which shall become the principal of this Trust, to be held, administered and disposed of by the Trustee as provided in this Trust Agreement. Neither the Trustee nor any Participant or Trust Beneficiary shall have any right to compel such additional deposits.</w:t>
      </w:r>
    </w:p>
    <w:p>
      <w:pPr>
        <w:spacing w:after="0" w:line="188" w:lineRule="exact"/>
        <w:rPr>
          <w:sz w:val="20"/>
          <w:szCs w:val="20"/>
          <w:color w:val="auto"/>
        </w:rPr>
      </w:pPr>
    </w:p>
    <w:p>
      <w:pPr>
        <w:ind w:firstLine="651"/>
        <w:spacing w:after="0" w:line="249" w:lineRule="auto"/>
        <w:rPr>
          <w:sz w:val="20"/>
          <w:szCs w:val="20"/>
          <w:color w:val="auto"/>
        </w:rPr>
      </w:pPr>
      <w:r>
        <w:rPr>
          <w:rFonts w:ascii="Times New Roman" w:cs="Times New Roman" w:eastAsia="Times New Roman" w:hAnsi="Times New Roman"/>
          <w:sz w:val="22"/>
          <w:szCs w:val="22"/>
          <w:color w:val="2B2B2B"/>
        </w:rPr>
        <w:t xml:space="preserve">1.3 </w:t>
      </w:r>
      <w:r>
        <w:rPr>
          <w:rFonts w:ascii="Times New Roman" w:cs="Times New Roman" w:eastAsia="Times New Roman" w:hAnsi="Times New Roman"/>
          <w:sz w:val="22"/>
          <w:szCs w:val="22"/>
          <w:color w:val="000000"/>
        </w:rPr>
        <w:t>Upon a Change in Control of the Company, as defined in Article XIV, the Company shall contribute, or cause to</w:t>
      </w:r>
      <w:r>
        <w:rPr>
          <w:rFonts w:ascii="Times New Roman" w:cs="Times New Roman" w:eastAsia="Times New Roman" w:hAnsi="Times New Roman"/>
          <w:sz w:val="22"/>
          <w:szCs w:val="22"/>
          <w:color w:val="2B2B2B"/>
        </w:rPr>
        <w:t xml:space="preserve"> </w:t>
      </w:r>
      <w:r>
        <w:rPr>
          <w:rFonts w:ascii="Times New Roman" w:cs="Times New Roman" w:eastAsia="Times New Roman" w:hAnsi="Times New Roman"/>
          <w:sz w:val="22"/>
          <w:szCs w:val="22"/>
          <w:color w:val="000000"/>
        </w:rPr>
        <w:t>be contributed by an Affiliate, to the Trust the amount required by each Agreement and the Executive Severance Plan, which contribution shall be made in accordance with the terms of such Agreement and the Executive Severance Plan. If so required by any Agreement or the Executive Severance Plan, the Company shall periodically make additional contributions to the Trust, or cause such additional contributions to be made by an Affiliate, at such times and in such amounts as is required by the Agreement or the Executive Severance Plan. The Company shall immediately notify the Trustee in writing of any Change in Control. The Trustee may conclusively rely upon such notice and shall have no duty to determine whether a Change in Control has occurred.</w:t>
      </w:r>
    </w:p>
    <w:p>
      <w:pPr>
        <w:spacing w:after="0" w:line="222" w:lineRule="exact"/>
        <w:rPr>
          <w:sz w:val="20"/>
          <w:szCs w:val="20"/>
          <w:color w:val="auto"/>
        </w:rPr>
      </w:pPr>
    </w:p>
    <w:p>
      <w:pPr>
        <w:ind w:right="180" w:firstLine="655"/>
        <w:spacing w:after="0" w:line="263"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color w:val="2B2B2B"/>
        </w:rPr>
        <w:t>The principal of the Trust and any earnings thereon shall be held in trust separate and apart from other funds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B2B2B"/>
        </w:rPr>
        <w:t>the Company and shall be used exclusively for the uses and purposes set forth in this Trust Agreement. No Trust Beneficiary shall have any preferred claim on, or any beneficial ownership interest in, any assets of the Trust prior to the time that such assets are paid to a Trust Beneficiary as Benefits as provided herein. Any rights created under this Trust Agreement shall be mere unsecured contractual rights of Trust Beneficiaries with respect to the respective Employer Company. The obligation of the Employer Companies to pay Benefits pursuant to this Trust Agreement constitutes merely an unfunded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060"/>
          </w:cols>
          <w:pgMar w:left="320" w:top="1422" w:right="519" w:bottom="1440" w:gutter="0" w:footer="0" w:header="0"/>
        </w:sectPr>
      </w:pPr>
    </w:p>
    <w:bookmarkStart w:id="113" w:name="page114"/>
    <w:bookmarkEnd w:id="113"/>
    <w:p>
      <w:pPr>
        <w:ind w:left="160"/>
        <w:spacing w:after="0"/>
        <w:rPr>
          <w:sz w:val="20"/>
          <w:szCs w:val="20"/>
          <w:color w:val="auto"/>
        </w:rPr>
      </w:pPr>
      <w:r>
        <w:rPr>
          <w:rFonts w:ascii="Times New Roman" w:cs="Times New Roman" w:eastAsia="Times New Roman" w:hAnsi="Times New Roman"/>
          <w:sz w:val="22"/>
          <w:szCs w:val="22"/>
          <w:color w:val="2B2B2B"/>
        </w:rPr>
        <w:t>unsecured promise to pay such Benefits.</w:t>
      </w:r>
    </w:p>
    <w:p>
      <w:pPr>
        <w:spacing w:after="0" w:line="233" w:lineRule="exact"/>
        <w:rPr>
          <w:sz w:val="20"/>
          <w:szCs w:val="20"/>
          <w:color w:val="auto"/>
        </w:rPr>
      </w:pPr>
    </w:p>
    <w:p>
      <w:pPr>
        <w:ind w:firstLine="655"/>
        <w:spacing w:after="0" w:line="256" w:lineRule="auto"/>
        <w:rPr>
          <w:sz w:val="20"/>
          <w:szCs w:val="20"/>
          <w:color w:val="auto"/>
        </w:rPr>
      </w:pPr>
      <w:r>
        <w:rPr>
          <w:rFonts w:ascii="Times New Roman" w:cs="Times New Roman" w:eastAsia="Times New Roman" w:hAnsi="Times New Roman"/>
          <w:sz w:val="22"/>
          <w:szCs w:val="22"/>
          <w:color w:val="2B2B2B"/>
        </w:rPr>
        <w:t xml:space="preserve">1.5 The Company may at any time and from time to time make additional deposits of cash or other property in the Trust to augment the principal to be held, administered and disposed of by the Trustee as herein provided, but no payment of all or any portion of the principal of the Trust or earnings thereon shall be made to the Company or other person or entity on behalf of the Company except as herein expressly provided. The Trustee shall have no duty to calculate or enforce any funding obligations of the Company under this Trust Agreement, and the duties of the Trustee shall be governed solely by the terms of the Trust without reference to the terms of the Agreements </w:t>
      </w:r>
      <w:r>
        <w:rPr>
          <w:rFonts w:ascii="Times New Roman" w:cs="Times New Roman" w:eastAsia="Times New Roman" w:hAnsi="Times New Roman"/>
          <w:sz w:val="22"/>
          <w:szCs w:val="22"/>
          <w:color w:val="000000"/>
        </w:rPr>
        <w:t>or the Executive Severance Plan</w:t>
      </w:r>
      <w:r>
        <w:rPr>
          <w:rFonts w:ascii="Times New Roman" w:cs="Times New Roman" w:eastAsia="Times New Roman" w:hAnsi="Times New Roman"/>
          <w:sz w:val="22"/>
          <w:szCs w:val="22"/>
          <w:color w:val="2B2B2B"/>
        </w:rPr>
        <w:t>.</w:t>
      </w:r>
    </w:p>
    <w:p>
      <w:pPr>
        <w:spacing w:after="0" w:line="217" w:lineRule="exact"/>
        <w:rPr>
          <w:sz w:val="20"/>
          <w:szCs w:val="20"/>
          <w:color w:val="auto"/>
        </w:rPr>
      </w:pPr>
    </w:p>
    <w:p>
      <w:pPr>
        <w:ind w:right="80" w:firstLine="653"/>
        <w:spacing w:after="0" w:line="242" w:lineRule="auto"/>
        <w:rPr>
          <w:sz w:val="20"/>
          <w:szCs w:val="20"/>
          <w:color w:val="auto"/>
        </w:rPr>
      </w:pPr>
      <w:r>
        <w:rPr>
          <w:rFonts w:ascii="Times New Roman" w:cs="Times New Roman" w:eastAsia="Times New Roman" w:hAnsi="Times New Roman"/>
          <w:sz w:val="22"/>
          <w:szCs w:val="22"/>
          <w:color w:val="2B2B2B"/>
        </w:rPr>
        <w:t xml:space="preserve">1.6 The Trust is intended to be a grantor trust, within the meaning of section 671 of the Internal Revenue Code of 1986, as amended (the </w:t>
      </w:r>
      <w:r>
        <w:rPr>
          <w:rFonts w:ascii="Times New Roman" w:cs="Times New Roman" w:eastAsia="Times New Roman" w:hAnsi="Times New Roman"/>
          <w:sz w:val="22"/>
          <w:szCs w:val="22"/>
          <w:b w:val="1"/>
          <w:bCs w:val="1"/>
          <w:color w:val="2B2B2B"/>
        </w:rPr>
        <w:t>"Code"),</w:t>
      </w:r>
      <w:r>
        <w:rPr>
          <w:rFonts w:ascii="Times New Roman" w:cs="Times New Roman" w:eastAsia="Times New Roman" w:hAnsi="Times New Roman"/>
          <w:sz w:val="22"/>
          <w:szCs w:val="22"/>
          <w:color w:val="2B2B2B"/>
        </w:rPr>
        <w:t xml:space="preserve"> or any successor provision, and shall be construed accordingly. The purpose of the Trust is to assure that the obligations to the Participants pursuant to each Agreement </w:t>
      </w:r>
      <w:r>
        <w:rPr>
          <w:rFonts w:ascii="Times New Roman" w:cs="Times New Roman" w:eastAsia="Times New Roman" w:hAnsi="Times New Roman"/>
          <w:sz w:val="22"/>
          <w:szCs w:val="22"/>
          <w:color w:val="000000"/>
        </w:rPr>
        <w:t>or the Executive Severance Plan</w:t>
      </w:r>
      <w:r>
        <w:rPr>
          <w:rFonts w:ascii="Times New Roman" w:cs="Times New Roman" w:eastAsia="Times New Roman" w:hAnsi="Times New Roman"/>
          <w:sz w:val="22"/>
          <w:szCs w:val="22"/>
          <w:color w:val="2B2B2B"/>
        </w:rPr>
        <w:t xml:space="preserve"> are fulfilled. The Trust is neither intended nor designed to qualify under section 401(a) of the Code or to be subject to the provisions of the Employee Retirement Income Security Act of 1974, as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B2B2B"/>
        </w:rPr>
        <w:t xml:space="preserve">amended </w:t>
      </w:r>
      <w:r>
        <w:rPr>
          <w:rFonts w:ascii="Times New Roman" w:cs="Times New Roman" w:eastAsia="Times New Roman" w:hAnsi="Times New Roman"/>
          <w:sz w:val="22"/>
          <w:szCs w:val="22"/>
          <w:b w:val="1"/>
          <w:bCs w:val="1"/>
          <w:color w:val="2B2B2B"/>
        </w:rPr>
        <w:t>("ERISA").</w:t>
      </w:r>
    </w:p>
    <w:p>
      <w:pPr>
        <w:spacing w:after="0" w:line="209" w:lineRule="exact"/>
        <w:rPr>
          <w:sz w:val="20"/>
          <w:szCs w:val="20"/>
          <w:color w:val="auto"/>
        </w:rPr>
      </w:pPr>
    </w:p>
    <w:p>
      <w:pPr>
        <w:ind w:right="40" w:firstLine="654"/>
        <w:spacing w:after="0" w:line="253" w:lineRule="auto"/>
        <w:rPr>
          <w:sz w:val="20"/>
          <w:szCs w:val="20"/>
          <w:color w:val="auto"/>
        </w:rPr>
      </w:pPr>
      <w:r>
        <w:rPr>
          <w:rFonts w:ascii="Times New Roman" w:cs="Times New Roman" w:eastAsia="Times New Roman" w:hAnsi="Times New Roman"/>
          <w:sz w:val="22"/>
          <w:szCs w:val="22"/>
          <w:color w:val="2B2B2B"/>
        </w:rPr>
        <w:t>1.7 Upon a Change in Control of the Company (as defined in Article XIV), the Company shall establish and maintain accounts covering each Participant's Benefits. All payments from the Trust, including without limitation payments to general creditors in the event an Employer Company becomes Insolvent and amounts paid to the Company in accordance with Section 4.2, and all income, appreciation or depreciation and expenses, shall be charged against the Trust as a single account under the Trust as directed by the Company. The Company shall allocate income, appreciation or depreciation and expenses to, and charge the payment of Benefits against, the applicable Participant's account. Notwithstanding the distribution limitation in Section 4.2, once all the Benefits payable from a Participant's account have been paid (as certified to in writing by the Company, upon which certification the Trustee may conclusively rely), the Company may direct that the assets of such account be reallocated among other Participant accounts or be returned to the Company.</w:t>
      </w:r>
    </w:p>
    <w:p>
      <w:pPr>
        <w:spacing w:after="0" w:line="23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color w:val="2B2B2B"/>
        </w:rPr>
        <w:t>Notwithstanding Sections 1.2, 1.3 or 1.7, no contribution or allocation shall be required or made if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B2B2B"/>
        </w:rPr>
        <w:t xml:space="preserve">contribution (or allocation to a sub-trust) would violate the provisions of Internal Revenue Code Section 409A </w:t>
      </w:r>
      <w:r>
        <w:rPr>
          <w:rFonts w:ascii="Times New Roman" w:cs="Times New Roman" w:eastAsia="Times New Roman" w:hAnsi="Times New Roman"/>
          <w:sz w:val="22"/>
          <w:szCs w:val="22"/>
          <w:b w:val="1"/>
          <w:bCs w:val="1"/>
          <w:color w:val="2B2B2B"/>
        </w:rPr>
        <w:t>("Section</w:t>
      </w:r>
      <w:r>
        <w:rPr>
          <w:rFonts w:ascii="Times New Roman" w:cs="Times New Roman" w:eastAsia="Times New Roman" w:hAnsi="Times New Roman"/>
          <w:sz w:val="22"/>
          <w:szCs w:val="22"/>
          <w:color w:val="2B2B2B"/>
        </w:rPr>
        <w:t xml:space="preserve"> </w:t>
      </w:r>
      <w:r>
        <w:rPr>
          <w:rFonts w:ascii="Times New Roman" w:cs="Times New Roman" w:eastAsia="Times New Roman" w:hAnsi="Times New Roman"/>
          <w:sz w:val="22"/>
          <w:szCs w:val="22"/>
          <w:b w:val="1"/>
          <w:bCs w:val="1"/>
          <w:color w:val="2B2B2B"/>
        </w:rPr>
        <w:t xml:space="preserve">409A") </w:t>
      </w:r>
      <w:r>
        <w:rPr>
          <w:rFonts w:ascii="Times New Roman" w:cs="Times New Roman" w:eastAsia="Times New Roman" w:hAnsi="Times New Roman"/>
          <w:sz w:val="22"/>
          <w:szCs w:val="22"/>
          <w:color w:val="2B2B2B"/>
        </w:rPr>
        <w:t>and any applicable authorities promulgated thereunder; provided, however, that any contribution that is not made as</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color w:val="2B2B2B"/>
        </w:rPr>
        <w:t>may otherwise be required by Sections 1.2 and 1.3 shall be made once such contribution would no longer violate Section 409A. The Company shall be solely responsible for any determinations required under this Section 1.8.</w:t>
      </w:r>
    </w:p>
    <w:p>
      <w:pPr>
        <w:spacing w:after="0" w:line="302" w:lineRule="exact"/>
        <w:rPr>
          <w:sz w:val="20"/>
          <w:szCs w:val="20"/>
          <w:color w:val="auto"/>
        </w:rPr>
      </w:pPr>
    </w:p>
    <w:p>
      <w:pPr>
        <w:ind w:left="2780" w:hanging="384"/>
        <w:spacing w:after="0"/>
        <w:tabs>
          <w:tab w:leader="none" w:pos="2780" w:val="left"/>
        </w:tabs>
        <w:numPr>
          <w:ilvl w:val="0"/>
          <w:numId w:val="46"/>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u w:val="single" w:color="auto"/>
          <w:color w:val="2D2D2D"/>
        </w:rPr>
        <w:t>PAYMENTS TO TRUST BENEFICIARIES</w:t>
      </w:r>
    </w:p>
    <w:p>
      <w:pPr>
        <w:spacing w:after="0" w:line="28" w:lineRule="exact"/>
        <w:rPr>
          <w:sz w:val="20"/>
          <w:szCs w:val="20"/>
          <w:color w:val="auto"/>
        </w:rPr>
      </w:pPr>
    </w:p>
    <w:p>
      <w:pPr>
        <w:ind w:right="340" w:firstLine="648"/>
        <w:spacing w:after="0" w:line="248" w:lineRule="auto"/>
        <w:rPr>
          <w:sz w:val="20"/>
          <w:szCs w:val="20"/>
          <w:color w:val="auto"/>
        </w:rPr>
      </w:pPr>
      <w:r>
        <w:rPr>
          <w:rFonts w:ascii="Times New Roman" w:cs="Times New Roman" w:eastAsia="Times New Roman" w:hAnsi="Times New Roman"/>
          <w:sz w:val="22"/>
          <w:szCs w:val="22"/>
          <w:color w:val="2D2D2D"/>
        </w:rPr>
        <w:t>2.1 Provided that the respective Employer Company is not Insolvent, the Trustee shall from time to time, upon the direction of the Company make payments of Benefits to each Trust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040"/>
          </w:cols>
          <w:pgMar w:left="320" w:top="1395" w:right="5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2D2D2D"/>
        </w:rPr>
        <w:t>Beneficiary from the assets of the Trust in accordance with the direction received from the Company.</w:t>
      </w:r>
    </w:p>
    <w:p>
      <w:pPr>
        <w:spacing w:after="0" w:line="24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2D2D2D"/>
        </w:rPr>
        <w:t>2.2 The Trustee shall continue to pay Benefits to the Trust Beneficiaries in accordance with Section 2.1 until the assets of the Trust are depleted. The Trustee shall have no duty to determine whether any current payment by the Trustee under the terms of this Trust Agreement would deplete the assets of the Trust below the amount necessary to provide adequately for Benefits to be payable in the future, and the Trustee shall make the current payment when due. If, after application of the preceding sentence, amounts in the Trust are not sufficient to provide for full payment of the Benefits to which any Trust Beneficiary is entitled as provided in this Trust Agreement, the Company (or the Employer Company at the direction of the Company) shall make the balance of each such payment directly to the Trust Beneficiary as it becomes due.</w:t>
      </w:r>
    </w:p>
    <w:p>
      <w:pPr>
        <w:spacing w:after="0" w:line="22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1"/>
          <w:szCs w:val="21"/>
          <w:color w:val="2D2D2D"/>
        </w:rPr>
        <w:t>2.3 The Employer Company or an Affiliate may make payments of Benefits directly to each or any Trust Beneficiary. The Employer Company shall notify the Trustee in writing of its decision to pay Benefits directly at least 10 days prior to the time amounts are due to be paid to a Trust Beneficiary and may be reimbursed from the Trust upon submission of the Company's certification to the Trustee that the payments were properly made (upon which certification the Trustee may conclusively rely).</w:t>
      </w:r>
    </w:p>
    <w:p>
      <w:pPr>
        <w:spacing w:after="0" w:line="20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2"/>
          <w:szCs w:val="22"/>
          <w:color w:val="2D2D2D"/>
        </w:rPr>
        <w:t>2.4 Nothing in this Trust Agreement shall in any way diminish any rights of any Trust Beneficiary to pursue such Trust Beneficiary's rights as a general creditor of the respective Employer Company with respect to Benefits or otherwise, and the rights of each Trust Beneficiary under the respective Agreement shall in no way be affected or diminished by any provision of this Trust Agreement or action taken pursuant to this Trust Agreement, except that any payment actually received by any Trust Beneficiary shall reduce dollar-per-dollar amounts otherwise due to such Trust Beneficiary pursuant to such Agreement. The Company shall be solely responsible for determining any amounts due to Trust Beneficiaries under their respective Agreements, and the Trustee may conclusively rely on any such determinations made by the Company.</w:t>
      </w:r>
    </w:p>
    <w:p>
      <w:pPr>
        <w:spacing w:after="0" w:line="218" w:lineRule="exact"/>
        <w:rPr>
          <w:sz w:val="20"/>
          <w:szCs w:val="20"/>
          <w:color w:val="auto"/>
        </w:rPr>
      </w:pPr>
    </w:p>
    <w:p>
      <w:pPr>
        <w:ind w:right="80" w:firstLine="729"/>
        <w:spacing w:after="0" w:line="263" w:lineRule="auto"/>
        <w:rPr>
          <w:sz w:val="20"/>
          <w:szCs w:val="20"/>
          <w:color w:val="auto"/>
        </w:rPr>
      </w:pPr>
      <w:r>
        <w:rPr>
          <w:rFonts w:ascii="Times New Roman" w:cs="Times New Roman" w:eastAsia="Times New Roman" w:hAnsi="Times New Roman"/>
          <w:sz w:val="22"/>
          <w:szCs w:val="22"/>
          <w:color w:val="2D2D2D"/>
        </w:rPr>
        <w:t>2.5 The Company shall have the sole responsibility for all tax withholding filings and reports. The Trustee shall withhold such amounts from distributions as the Company directs and shall follow the instructions of the Company with respect to remission of such withheld amounts to the appropriate governmental authorities.</w:t>
      </w:r>
    </w:p>
    <w:p>
      <w:pPr>
        <w:spacing w:after="0" w:line="194" w:lineRule="exact"/>
        <w:rPr>
          <w:sz w:val="20"/>
          <w:szCs w:val="20"/>
          <w:color w:val="auto"/>
        </w:rPr>
      </w:pPr>
    </w:p>
    <w:p>
      <w:pPr>
        <w:ind w:left="1700" w:hanging="438"/>
        <w:spacing w:after="0"/>
        <w:tabs>
          <w:tab w:leader="none" w:pos="1700" w:val="left"/>
        </w:tabs>
        <w:numPr>
          <w:ilvl w:val="0"/>
          <w:numId w:val="47"/>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u w:val="single" w:color="auto"/>
          <w:color w:val="464646"/>
        </w:rPr>
        <w:t xml:space="preserve">THE </w:t>
      </w:r>
      <w:r>
        <w:rPr>
          <w:rFonts w:ascii="Times New Roman" w:cs="Times New Roman" w:eastAsia="Times New Roman" w:hAnsi="Times New Roman"/>
          <w:sz w:val="22"/>
          <w:szCs w:val="22"/>
          <w:u w:val="single" w:color="auto"/>
          <w:color w:val="2D2D2D"/>
        </w:rPr>
        <w:t>TRUSTEE'S RESPONSIBILITY REGARDING PAYMENT</w:t>
      </w:r>
      <w:r>
        <w:rPr>
          <w:rFonts w:ascii="Times New Roman" w:cs="Times New Roman" w:eastAsia="Times New Roman" w:hAnsi="Times New Roman"/>
          <w:sz w:val="22"/>
          <w:szCs w:val="22"/>
          <w:u w:val="single" w:color="auto"/>
          <w:color w:val="464646"/>
        </w:rPr>
        <w:t xml:space="preserve"> TO</w:t>
      </w:r>
    </w:p>
    <w:p>
      <w:pPr>
        <w:spacing w:after="0" w:line="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u w:val="single" w:color="auto"/>
          <w:color w:val="2D2D2D"/>
        </w:rPr>
        <w:t xml:space="preserve">A TRUST BENEFICIARY WHEN AN EMPLOYER </w:t>
      </w:r>
      <w:r>
        <w:rPr>
          <w:rFonts w:ascii="Times New Roman" w:cs="Times New Roman" w:eastAsia="Times New Roman" w:hAnsi="Times New Roman"/>
          <w:sz w:val="22"/>
          <w:szCs w:val="22"/>
          <w:u w:val="single" w:color="auto"/>
          <w:color w:val="464646"/>
        </w:rPr>
        <w:t>COMPANY</w:t>
      </w:r>
      <w:r>
        <w:rPr>
          <w:rFonts w:ascii="Times New Roman" w:cs="Times New Roman" w:eastAsia="Times New Roman" w:hAnsi="Times New Roman"/>
          <w:sz w:val="22"/>
          <w:szCs w:val="22"/>
          <w:u w:val="single" w:color="auto"/>
          <w:color w:val="2D2D2D"/>
        </w:rPr>
        <w:t xml:space="preserve"> IS INSOLVENT</w:t>
      </w:r>
    </w:p>
    <w:p>
      <w:pPr>
        <w:spacing w:after="0" w:line="3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2D2D2D"/>
        </w:rPr>
        <w:t>3.1 At all times during the continuance of this Trust, the principal and income of the Trust shall be subject to claims of the general creditors of the respective Employer Companies to the extent set forth in Sections 3.1 and 3.2. The Board of Directors, CEO or highest ranking officer of an Employer Company shall have the duty to inform the Trustee in writing of that Employer Company's Insolvency. If a person claiming to be a creditor of an Employer Company alleges in writing to the Trustee that the Employer Company has become Insolvent, the Trustee shall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60"/>
          </w:cols>
          <w:pgMar w:left="320" w:top="1422" w:right="419" w:bottom="1440" w:gutter="0" w:footer="0" w:header="0"/>
        </w:sectPr>
      </w:pPr>
    </w:p>
    <w:bookmarkStart w:id="115" w:name="page116"/>
    <w:bookmarkEnd w:id="115"/>
    <w:p>
      <w:pPr>
        <w:spacing w:after="0" w:line="5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1"/>
          <w:szCs w:val="21"/>
          <w:color w:val="2D2D2D"/>
        </w:rPr>
        <w:t>determine whether that Employer Company is Insolvent and, pending such determination, the Trustee shall discontinue payment of benefits to all Trust Beneficiaries, provided, however, that the Company may direct the Trustee to continue making payments to one or more Trust Beneficiaries. Unless the Trustee has actual knowledge of an Employer Company's Insolvency, or has received notice from an Employer Company or a person claiming to be a creditor alleging that an Employer Company is Insolvent, the Trustee shall have no duty to inquire whether the Employer Company is Insolvent. The Trustee may in all events rely on such evidence concerning the Employer Company's solvency as may be furnished to the Trustee and that provides the Trustee with a reasonable basis for making a determination concerning the Employer Company's solvency.</w:t>
      </w:r>
    </w:p>
    <w:p>
      <w:pPr>
        <w:spacing w:after="0" w:line="200"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2D2D2D"/>
        </w:rPr>
        <w:t xml:space="preserve">3.2 If at any time the Trustee has been notified or has determined that an Employer Company is Insolvent, the Trustee shall discontinue payments to Trust Beneficiaries pursuant to Section 3.1 and shall hold all the assets of the Trust for the benefit of the Employer Company's general creditors, provided, however, in the event the Company determines that only a portion of the Trust assets are subject to claims of the </w:t>
      </w:r>
      <w:r>
        <w:rPr>
          <w:rFonts w:ascii="Times New Roman" w:cs="Times New Roman" w:eastAsia="Times New Roman" w:hAnsi="Times New Roman"/>
          <w:sz w:val="22"/>
          <w:szCs w:val="22"/>
          <w:color w:val="424242"/>
        </w:rPr>
        <w:t>Employer</w:t>
      </w:r>
      <w:r>
        <w:rPr>
          <w:rFonts w:ascii="Times New Roman" w:cs="Times New Roman" w:eastAsia="Times New Roman" w:hAnsi="Times New Roman"/>
          <w:sz w:val="22"/>
          <w:szCs w:val="22"/>
          <w:color w:val="2D2D2D"/>
        </w:rPr>
        <w:t xml:space="preserve"> Company's creditors, the Company shall direct the Trustee to transfer such assets to a separate account to be held for the benefit of the Employer Company's general creditors. The Trustee shall pay Trust assets to the extent necessary to satisfy the claims of the creditors of the Employer Company as a court of competent jurisdiction may direct. If the Trustee has discontinued or refrained from making payments to any Trust Beneficiary pursuant to Section 3.1, the Trustee shall pay or resume payments to such Trust Beneficiary in accordance with this Trust Agreement if the Trustee has determined that the Employer Company is not Insolvent (or is no longer Insolvent) or pursuant to the order of a court of competent jurisdiction.</w:t>
      </w:r>
    </w:p>
    <w:p>
      <w:pPr>
        <w:spacing w:after="0" w:line="21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2D2D2D"/>
        </w:rPr>
        <w:t>Any direction from the Company to continue payments or segregate assets pursuant to Sections 3.1 and 3.2 shall constitute a representation and warranty from the Company that it has determined, on advice of counsel, that such direction will not cause the Trust to fail to satisfy the provisions of Sections 12.l(a), (b) or (c) hereof.</w:t>
      </w:r>
    </w:p>
    <w:p>
      <w:pPr>
        <w:spacing w:after="0" w:line="208" w:lineRule="exact"/>
        <w:rPr>
          <w:sz w:val="20"/>
          <w:szCs w:val="20"/>
          <w:color w:val="auto"/>
        </w:rPr>
      </w:pPr>
    </w:p>
    <w:p>
      <w:pPr>
        <w:ind w:firstLine="729"/>
        <w:spacing w:after="0" w:line="249" w:lineRule="auto"/>
        <w:rPr>
          <w:sz w:val="20"/>
          <w:szCs w:val="20"/>
          <w:color w:val="auto"/>
        </w:rPr>
      </w:pPr>
      <w:r>
        <w:rPr>
          <w:rFonts w:ascii="Times New Roman" w:cs="Times New Roman" w:eastAsia="Times New Roman" w:hAnsi="Times New Roman"/>
          <w:sz w:val="22"/>
          <w:szCs w:val="22"/>
          <w:color w:val="2D2D2D"/>
        </w:rPr>
        <w:t>3.3 If the Trustee is precluded from paying Benefits from the Trust assets pursuant to Section 3</w:t>
      </w:r>
      <w:r>
        <w:rPr>
          <w:rFonts w:ascii="Times New Roman" w:cs="Times New Roman" w:eastAsia="Times New Roman" w:hAnsi="Times New Roman"/>
          <w:sz w:val="22"/>
          <w:szCs w:val="22"/>
          <w:color w:val="424242"/>
        </w:rPr>
        <w:t>.1</w:t>
      </w:r>
      <w:r>
        <w:rPr>
          <w:rFonts w:ascii="Times New Roman" w:cs="Times New Roman" w:eastAsia="Times New Roman" w:hAnsi="Times New Roman"/>
          <w:sz w:val="22"/>
          <w:szCs w:val="22"/>
          <w:color w:val="2D2D2D"/>
        </w:rPr>
        <w:t xml:space="preserve"> and such prohibition is subsequently removed, the Trustee shall, to the extent not inconsistent with an order from a court of competent jurisdiction, pay the aggregate amount of all Benefits that would have been paid to the Trust Beneficiaries in accordance with this Trust Agreement during the period of such prohibition, less the aggregate amount of Benefits otherwise paid to any Trust Beneficiary by the Company or an Affiliate during any such period, together with interest on the delayed amount determined at a rate equal to the rate actually earned (including, without limitation, market appreciation or depreciation, plus receipt of interest and dividends) during such period with respect to the assets of the Trust corresponding to such net amount delayed. The Company shall instruct the Trustee as to such amounts to be paid (if any).</w:t>
      </w:r>
    </w:p>
    <w:p>
      <w:pPr>
        <w:spacing w:after="0" w:line="22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2D2D2D"/>
        </w:rPr>
        <w:t>3.4</w:t>
      </w:r>
      <w:r>
        <w:rPr>
          <w:sz w:val="20"/>
          <w:szCs w:val="20"/>
          <w:color w:val="auto"/>
        </w:rPr>
        <w:tab/>
      </w:r>
      <w:r>
        <w:rPr>
          <w:rFonts w:ascii="Times New Roman" w:cs="Times New Roman" w:eastAsia="Times New Roman" w:hAnsi="Times New Roman"/>
          <w:sz w:val="21"/>
          <w:szCs w:val="21"/>
          <w:color w:val="2D2D2D"/>
        </w:rPr>
        <w:t>In no event shall "actual knowledge" be deemed to include knowledge of the</w:t>
      </w:r>
    </w:p>
    <w:p>
      <w:pPr>
        <w:spacing w:after="0" w:line="1" w:lineRule="exact"/>
        <w:rPr>
          <w:sz w:val="20"/>
          <w:szCs w:val="20"/>
          <w:color w:val="auto"/>
        </w:rPr>
      </w:pPr>
    </w:p>
    <w:p>
      <w:pPr>
        <w:jc w:val="both"/>
        <w:ind w:left="160" w:right="40"/>
        <w:spacing w:after="0" w:line="218" w:lineRule="auto"/>
        <w:rPr>
          <w:sz w:val="20"/>
          <w:szCs w:val="20"/>
          <w:color w:val="auto"/>
        </w:rPr>
      </w:pPr>
      <w:r>
        <w:rPr>
          <w:rFonts w:ascii="Times New Roman" w:cs="Times New Roman" w:eastAsia="Times New Roman" w:hAnsi="Times New Roman"/>
          <w:sz w:val="22"/>
          <w:szCs w:val="22"/>
          <w:color w:val="2D2D2D"/>
        </w:rPr>
        <w:t>Company's credit status held by banking officers or banking employees of the Trustee which has not been communicated to the trust department employees of the Trustee. The Trustee may appoint an independent accounting, consulting or law firm to make any determination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116" w:name="page117"/>
    <w:bookmarkEnd w:id="116"/>
    <w:p>
      <w:pPr>
        <w:ind w:left="160" w:right="60"/>
        <w:spacing w:after="0" w:line="236" w:lineRule="auto"/>
        <w:rPr>
          <w:sz w:val="20"/>
          <w:szCs w:val="20"/>
          <w:color w:val="auto"/>
        </w:rPr>
      </w:pPr>
      <w:r>
        <w:rPr>
          <w:rFonts w:ascii="Times New Roman" w:cs="Times New Roman" w:eastAsia="Times New Roman" w:hAnsi="Times New Roman"/>
          <w:sz w:val="22"/>
          <w:szCs w:val="22"/>
          <w:color w:val="2D2D2D"/>
        </w:rPr>
        <w:t>solvency required by the Trustee under this Article III. In such event, the Trustee may conclusively rely upon the determination by such firm and shall be responsible only for the prudent selection of such firm.</w:t>
      </w:r>
    </w:p>
    <w:p>
      <w:pPr>
        <w:spacing w:after="0" w:line="204" w:lineRule="exact"/>
        <w:rPr>
          <w:sz w:val="20"/>
          <w:szCs w:val="20"/>
          <w:color w:val="auto"/>
        </w:rPr>
      </w:pPr>
    </w:p>
    <w:p>
      <w:pPr>
        <w:ind w:left="2920"/>
        <w:spacing w:after="0"/>
        <w:tabs>
          <w:tab w:leader="none" w:pos="3320" w:val="left"/>
        </w:tabs>
        <w:rPr>
          <w:sz w:val="20"/>
          <w:szCs w:val="20"/>
          <w:color w:val="auto"/>
        </w:rPr>
      </w:pPr>
      <w:r>
        <w:rPr>
          <w:rFonts w:ascii="Times New Roman" w:cs="Times New Roman" w:eastAsia="Times New Roman" w:hAnsi="Times New Roman"/>
          <w:sz w:val="22"/>
          <w:szCs w:val="22"/>
          <w:color w:val="2D2D2D"/>
        </w:rPr>
        <w:t>IV.</w:t>
      </w:r>
      <w:r>
        <w:rPr>
          <w:sz w:val="20"/>
          <w:szCs w:val="20"/>
          <w:color w:val="auto"/>
        </w:rPr>
        <w:tab/>
      </w:r>
      <w:r>
        <w:rPr>
          <w:rFonts w:ascii="Times New Roman" w:cs="Times New Roman" w:eastAsia="Times New Roman" w:hAnsi="Times New Roman"/>
          <w:sz w:val="21"/>
          <w:szCs w:val="21"/>
          <w:u w:val="single" w:color="auto"/>
          <w:color w:val="2D2D2D"/>
        </w:rPr>
        <w:t>PAYMENTS TO COMPANY</w:t>
      </w:r>
    </w:p>
    <w:p>
      <w:pPr>
        <w:spacing w:after="0" w:line="26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2D2D2D"/>
        </w:rPr>
        <w:t xml:space="preserve">4.1 After the occurrence of a Change in Control (as defined in Article </w:t>
      </w:r>
      <w:r>
        <w:rPr>
          <w:rFonts w:ascii="Times New Roman" w:cs="Times New Roman" w:eastAsia="Times New Roman" w:hAnsi="Times New Roman"/>
          <w:sz w:val="21"/>
          <w:szCs w:val="21"/>
          <w:color w:val="424242"/>
        </w:rPr>
        <w:t>XIV),</w:t>
      </w:r>
      <w:r>
        <w:rPr>
          <w:rFonts w:ascii="Times New Roman" w:cs="Times New Roman" w:eastAsia="Times New Roman" w:hAnsi="Times New Roman"/>
          <w:sz w:val="21"/>
          <w:szCs w:val="21"/>
          <w:color w:val="2D2D2D"/>
        </w:rPr>
        <w:t xml:space="preserve"> except to the extent expressly contemplated by Sections 2.3, 1.7 and this Article IV, the Company shall have no right or power to direct the Trustee to return any of the Trust assets to the Company before all payments of Benefits have been made to all Trust Beneficiaries as provided in this Trust Agreement; provided, however, as set forth in Section 1.7, the Company may direct repayment of any amount allocated to an account with respect to any Participant whose Benefit has been paid in full or to any Participant who is no longer entitled to a Benefit under any Agreement </w:t>
      </w:r>
      <w:r>
        <w:rPr>
          <w:rFonts w:ascii="Times New Roman" w:cs="Times New Roman" w:eastAsia="Times New Roman" w:hAnsi="Times New Roman"/>
          <w:sz w:val="21"/>
          <w:szCs w:val="21"/>
          <w:color w:val="000000"/>
        </w:rPr>
        <w:t>or the Executive Severance Plan</w:t>
      </w:r>
      <w:r>
        <w:rPr>
          <w:rFonts w:ascii="Times New Roman" w:cs="Times New Roman" w:eastAsia="Times New Roman" w:hAnsi="Times New Roman"/>
          <w:sz w:val="21"/>
          <w:szCs w:val="21"/>
          <w:color w:val="2D2D2D"/>
        </w:rPr>
        <w:t>. The Trustee shall be entitled to rely conclusively upon the Company's written certification that all such payments have been made or that the Participant is no longer entitled to a Benefit.</w:t>
      </w:r>
    </w:p>
    <w:p>
      <w:pPr>
        <w:spacing w:after="0" w:line="20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2D2D2D"/>
        </w:rPr>
        <w:t xml:space="preserve">4.2 Prior to a Change in Control of the Company (as defined in Article XIV), the Company may request the return of all or a portion of any amounts contributed to the Trust. </w:t>
      </w:r>
      <w:r>
        <w:rPr>
          <w:rFonts w:ascii="Times New Roman" w:cs="Times New Roman" w:eastAsia="Times New Roman" w:hAnsi="Times New Roman"/>
          <w:sz w:val="22"/>
          <w:szCs w:val="22"/>
          <w:color w:val="000000"/>
        </w:rPr>
        <w:t>From time to time after a Change in Control (as defined in Article XIV), the</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000000"/>
        </w:rPr>
        <w:t>Company may determine for purposes of this Section 4.2 the maximum value of the Benefits that could become payable under the Agreements and the Executive Severance Plan (the “</w:t>
      </w:r>
      <w:r>
        <w:rPr>
          <w:rFonts w:ascii="Times New Roman" w:cs="Times New Roman" w:eastAsia="Times New Roman" w:hAnsi="Times New Roman"/>
          <w:sz w:val="22"/>
          <w:szCs w:val="22"/>
          <w:b w:val="1"/>
          <w:bCs w:val="1"/>
          <w:color w:val="000000"/>
        </w:rPr>
        <w:t>Fully Funded Amount</w:t>
      </w:r>
      <w:r>
        <w:rPr>
          <w:rFonts w:ascii="Times New Roman" w:cs="Times New Roman" w:eastAsia="Times New Roman" w:hAnsi="Times New Roman"/>
          <w:sz w:val="22"/>
          <w:szCs w:val="22"/>
          <w:color w:val="000000"/>
        </w:rPr>
        <w:t xml:space="preserve">”) with respect to the Trust Beneficiaries and the fair market value of the Trust assets. </w:t>
      </w:r>
      <w:r>
        <w:rPr>
          <w:rFonts w:ascii="Times New Roman" w:cs="Times New Roman" w:eastAsia="Times New Roman" w:hAnsi="Times New Roman"/>
          <w:sz w:val="22"/>
          <w:szCs w:val="22"/>
          <w:color w:val="2D2D2D"/>
        </w:rPr>
        <w:t>The Company shall pay the fees of any appraiser engaged to value any property held in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D2D2D"/>
        </w:rPr>
        <w:t>Trust. Thereafter, upon the direction of the Company, the Trustee shall pay to the Company the excess, if any, of the fair market value of the Trust assets over 110% of the Fully Funded Amount; provided, however, that if such payment would leave the Trustee with insufficient liquid assets to pay all premiums due and to become due on any life insurance policies held in the Trust, Trustee fees and expenses then due and owing (and for a period of twenty-four months thereafter), or any other amounts due and payable under the Trust, the Trustee may (but shall not be required to) retain sufficient liquid assets to pay such amounts. The Company shall be solely responsible for any appraisals performed hereunder, and the Trustee may conclusively rely on any direction to return excess funds to the Company.</w:t>
      </w:r>
    </w:p>
    <w:p>
      <w:pPr>
        <w:spacing w:after="0" w:line="211"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22"/>
          <w:szCs w:val="22"/>
          <w:color w:val="2D2D2D"/>
        </w:rPr>
        <w:t>4.3 The Company shall have the right at any time, and from time to time in its sole discretion, to substitute assets of equal fair market value for any assets held by the Trust. This right is exercisable by the Company in a nonfiduciary capacity without the approval or consent of any person in a fiduciary capacity. The Trustee shall have no responsibility for determining whether such right has been properly exercised or for any investment losses that may result from its exercise.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80" w:hanging="352"/>
        <w:spacing w:after="0"/>
        <w:tabs>
          <w:tab w:leader="none" w:pos="3080" w:val="left"/>
        </w:tabs>
        <w:numPr>
          <w:ilvl w:val="0"/>
          <w:numId w:val="48"/>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u w:val="single" w:color="auto"/>
          <w:color w:val="424242"/>
        </w:rPr>
        <w:t>INVES</w:t>
      </w:r>
      <w:r>
        <w:rPr>
          <w:rFonts w:ascii="Times New Roman" w:cs="Times New Roman" w:eastAsia="Times New Roman" w:hAnsi="Times New Roman"/>
          <w:sz w:val="22"/>
          <w:szCs w:val="22"/>
          <w:u w:val="single" w:color="auto"/>
          <w:color w:val="2D2D2D"/>
        </w:rPr>
        <w:t>TMENT OF TRUST FUND</w:t>
      </w:r>
    </w:p>
    <w:p>
      <w:pPr>
        <w:spacing w:after="0" w:line="200" w:lineRule="exact"/>
        <w:rPr>
          <w:rFonts w:ascii="Times New Roman" w:cs="Times New Roman" w:eastAsia="Times New Roman" w:hAnsi="Times New Roman"/>
          <w:sz w:val="22"/>
          <w:szCs w:val="22"/>
          <w:color w:val="2D2D2D"/>
        </w:rPr>
      </w:pPr>
    </w:p>
    <w:p>
      <w:pPr>
        <w:spacing w:after="0" w:line="200" w:lineRule="exact"/>
        <w:rPr>
          <w:rFonts w:ascii="Times New Roman" w:cs="Times New Roman" w:eastAsia="Times New Roman" w:hAnsi="Times New Roman"/>
          <w:sz w:val="22"/>
          <w:szCs w:val="22"/>
          <w:color w:val="2D2D2D"/>
        </w:rPr>
      </w:pPr>
    </w:p>
    <w:p>
      <w:pPr>
        <w:spacing w:after="0" w:line="200" w:lineRule="exact"/>
        <w:rPr>
          <w:rFonts w:ascii="Times New Roman" w:cs="Times New Roman" w:eastAsia="Times New Roman" w:hAnsi="Times New Roman"/>
          <w:sz w:val="22"/>
          <w:szCs w:val="22"/>
          <w:color w:val="2D2D2D"/>
        </w:rPr>
      </w:pPr>
    </w:p>
    <w:p>
      <w:pPr>
        <w:spacing w:after="0" w:line="200" w:lineRule="exact"/>
        <w:rPr>
          <w:rFonts w:ascii="Times New Roman" w:cs="Times New Roman" w:eastAsia="Times New Roman" w:hAnsi="Times New Roman"/>
          <w:sz w:val="22"/>
          <w:szCs w:val="22"/>
          <w:color w:val="2D2D2D"/>
        </w:rPr>
      </w:pPr>
    </w:p>
    <w:p>
      <w:pPr>
        <w:spacing w:after="0" w:line="247" w:lineRule="exact"/>
        <w:rPr>
          <w:rFonts w:ascii="Times New Roman" w:cs="Times New Roman" w:eastAsia="Times New Roman" w:hAnsi="Times New Roman"/>
          <w:sz w:val="22"/>
          <w:szCs w:val="22"/>
          <w:color w:val="2D2D2D"/>
        </w:rPr>
      </w:pPr>
    </w:p>
    <w:p>
      <w:pPr>
        <w:ind w:left="5520"/>
        <w:spacing w:after="0"/>
        <w:rPr>
          <w:rFonts w:ascii="Times New Roman" w:cs="Times New Roman" w:eastAsia="Times New Roman" w:hAnsi="Times New Roman"/>
          <w:sz w:val="22"/>
          <w:szCs w:val="22"/>
          <w:color w:val="2D2D2D"/>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395" w:right="359" w:bottom="1440" w:gutter="0" w:footer="0" w:header="0"/>
        </w:sectPr>
      </w:pPr>
    </w:p>
    <w:bookmarkStart w:id="117" w:name="page118"/>
    <w:bookmarkEnd w:id="117"/>
    <w:p>
      <w:pPr>
        <w:ind w:firstLine="648"/>
        <w:spacing w:after="0" w:line="262" w:lineRule="auto"/>
        <w:rPr>
          <w:sz w:val="20"/>
          <w:szCs w:val="20"/>
          <w:color w:val="auto"/>
        </w:rPr>
      </w:pPr>
      <w:r>
        <w:rPr>
          <w:rFonts w:ascii="Times New Roman" w:cs="Times New Roman" w:eastAsia="Times New Roman" w:hAnsi="Times New Roman"/>
          <w:sz w:val="21"/>
          <w:szCs w:val="21"/>
          <w:color w:val="2D2D2D"/>
        </w:rPr>
        <w:t>5.1 Except as provided in Section 5.2, the Company shall have sole investment discretion and responsibility for the assets of the Trust, and the Trustee shall invest and reinvest, and act with respect to, the assets of the Trust only as directed by the Company in writing from time to time and shall have no investment review responsibility therefor, and the Trustee shall not consider the propriety of holding or selling, or vote such assets other than as directed by Company; provided, however, that if the Trustee shall not have received contrary instructions from the Company, the Trustee shall invest for short term purposes any cash in its custody in bonds, notes and other evidences of indebtedness having a maturity date not beyond five years from the date of purchase, United States Treasury bills, commercial paper, bankers' acceptances and certificates of deposit, and undivided interests or participations therein, and participations in regulated investment companies for which the Trustee or its affiliate is the adviser.</w:t>
      </w:r>
    </w:p>
    <w:p>
      <w:pPr>
        <w:spacing w:after="0" w:line="213"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2D2D2D"/>
        </w:rPr>
        <w:t>5.2 Subject to such written investment guidelines issued by the Company, the Trustee shall have investment discretion and responsibility for those assets of the Trust for which it accepts such responsibility in writing to the Company; provided, however, that the Trustee shall not have investment discretion for any Company insurance policies or contracts, investment discretion and responsibility for which shall be retained by the Company as provided in Section 5.1.</w:t>
      </w:r>
    </w:p>
    <w:p>
      <w:pPr>
        <w:spacing w:after="0" w:line="20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2D2D2D"/>
        </w:rPr>
        <w:t>5.3 The Trustee shall have the power to invest the assets of the Trust, in accordance with the provisions of Sections 5.1 and 5.2. The Trustee shall not be liable for any failure to maximize income on such portion of the Trust assets as may be from time to time be invested or reinvested as set forth above, nor for any loss of principal or income due to the liquidation of any investment that the Company directs as necessary to make payments or to reimburse expenses under the terms of this Trust Agreement.</w:t>
      </w:r>
    </w:p>
    <w:p>
      <w:pPr>
        <w:spacing w:after="0" w:line="20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2D2D2D"/>
        </w:rPr>
        <w:t>5.4</w:t>
      </w:r>
      <w:r>
        <w:rPr>
          <w:sz w:val="20"/>
          <w:szCs w:val="20"/>
          <w:color w:val="auto"/>
        </w:rPr>
        <w:tab/>
      </w:r>
      <w:r>
        <w:rPr>
          <w:rFonts w:ascii="Times New Roman" w:cs="Times New Roman" w:eastAsia="Times New Roman" w:hAnsi="Times New Roman"/>
          <w:sz w:val="21"/>
          <w:szCs w:val="21"/>
          <w:color w:val="2D2D2D"/>
        </w:rPr>
        <w:t>The Trustee shall have all rights conferred upon trustees under Illinois law with respect to the investment of the trust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assets.</w:t>
      </w:r>
    </w:p>
    <w:p>
      <w:pPr>
        <w:spacing w:after="0" w:line="23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2D2D2D"/>
        </w:rPr>
        <w:t xml:space="preserve">VI.  </w:t>
      </w:r>
      <w:r>
        <w:rPr>
          <w:rFonts w:ascii="Times New Roman" w:cs="Times New Roman" w:eastAsia="Times New Roman" w:hAnsi="Times New Roman"/>
          <w:sz w:val="22"/>
          <w:szCs w:val="22"/>
          <w:u w:val="single" w:color="auto"/>
          <w:color w:val="2D2D2D"/>
        </w:rPr>
        <w:t>INCOME OF THE TRUST</w:t>
      </w:r>
    </w:p>
    <w:p>
      <w:pPr>
        <w:spacing w:after="0" w:line="24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2D2D2D"/>
        </w:rPr>
        <w:t>6.1</w:t>
      </w:r>
      <w:r>
        <w:rPr>
          <w:sz w:val="20"/>
          <w:szCs w:val="20"/>
          <w:color w:val="auto"/>
        </w:rPr>
        <w:tab/>
      </w:r>
      <w:r>
        <w:rPr>
          <w:rFonts w:ascii="Times New Roman" w:cs="Times New Roman" w:eastAsia="Times New Roman" w:hAnsi="Times New Roman"/>
          <w:sz w:val="21"/>
          <w:szCs w:val="21"/>
          <w:color w:val="2D2D2D"/>
        </w:rPr>
        <w:t>During the continuance of this Trust, all net income of the Trust shall be retained in the Trust.</w:t>
      </w:r>
    </w:p>
    <w:p>
      <w:pPr>
        <w:spacing w:after="0" w:line="24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2D2D2D"/>
        </w:rPr>
        <w:t xml:space="preserve">VII.  </w:t>
      </w:r>
      <w:r>
        <w:rPr>
          <w:rFonts w:ascii="Times New Roman" w:cs="Times New Roman" w:eastAsia="Times New Roman" w:hAnsi="Times New Roman"/>
          <w:sz w:val="22"/>
          <w:szCs w:val="22"/>
          <w:u w:val="single" w:color="auto"/>
          <w:color w:val="2D2D2D"/>
        </w:rPr>
        <w:t>ACCOUNTING BY THE TRUSTEE</w:t>
      </w:r>
    </w:p>
    <w:p>
      <w:pPr>
        <w:spacing w:after="0" w:line="247" w:lineRule="exact"/>
        <w:rPr>
          <w:sz w:val="20"/>
          <w:szCs w:val="20"/>
          <w:color w:val="auto"/>
        </w:rPr>
      </w:pPr>
    </w:p>
    <w:p>
      <w:pPr>
        <w:jc w:val="both"/>
        <w:ind w:right="60" w:firstLine="666"/>
        <w:spacing w:after="0" w:line="245" w:lineRule="auto"/>
        <w:rPr>
          <w:sz w:val="20"/>
          <w:szCs w:val="20"/>
          <w:color w:val="auto"/>
        </w:rPr>
      </w:pPr>
      <w:r>
        <w:rPr>
          <w:rFonts w:ascii="Times New Roman" w:cs="Times New Roman" w:eastAsia="Times New Roman" w:hAnsi="Times New Roman"/>
          <w:sz w:val="22"/>
          <w:szCs w:val="22"/>
          <w:color w:val="2D2D2D"/>
        </w:rPr>
        <w:t xml:space="preserve">7.1 </w:t>
      </w:r>
      <w:r>
        <w:rPr>
          <w:rFonts w:ascii="Times New Roman" w:cs="Times New Roman" w:eastAsia="Times New Roman" w:hAnsi="Times New Roman"/>
          <w:sz w:val="22"/>
          <w:szCs w:val="22"/>
          <w:color w:val="000000"/>
        </w:rPr>
        <w:t>The Trustee shall maintain such books, records and accounts as may be necessary for the proper administration of</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000000"/>
        </w:rPr>
        <w:t>the Trust assets, including such specific records as shall be agreed upon in writing by the Company and the Trustee. Within 60 days following the close of each calendar year that includes or commences after the date of this Trust until the termination of this Trust or the removal or resignation of the Trustee (and within 60 days after the date of such termination, removal or resignation), the Trustee shall render to the Company an accounting with</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1"/>
          <w:szCs w:val="21"/>
          <w:color w:val="auto"/>
        </w:rPr>
        <w:t>respect to the Trust assets as of the end of the then most recent calendar year (and as of the date of such termination, removal or resignation, as the case may be). The Trustee shall furnish to the Company on a quarterly basis (or on such other periodic basis as the Company and the Trustee shall agree to in writing from time to time) and in a timely manner such information regarding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422" w:right="359" w:bottom="1440" w:gutter="0" w:footer="0" w:header="0"/>
        </w:sectPr>
      </w:pPr>
    </w:p>
    <w:bookmarkStart w:id="118" w:name="page119"/>
    <w:bookmarkEnd w:id="118"/>
    <w:p>
      <w:pPr>
        <w:spacing w:after="0" w:line="211" w:lineRule="auto"/>
        <w:rPr>
          <w:sz w:val="20"/>
          <w:szCs w:val="20"/>
          <w:color w:val="auto"/>
        </w:rPr>
      </w:pPr>
      <w:r>
        <w:rPr>
          <w:rFonts w:ascii="Times New Roman" w:cs="Times New Roman" w:eastAsia="Times New Roman" w:hAnsi="Times New Roman"/>
          <w:sz w:val="22"/>
          <w:szCs w:val="22"/>
          <w:color w:val="auto"/>
        </w:rPr>
        <w:t>Trust as the Company shall require for purposes of preparing its statements of financial condition. Upon the written request of the Company, the Trustee shall deliver to the Company a written report setting forth the amount held in the Trust and a record of the deposits made to the Trust by the Company. In the absence of the filing in writing with the Trustee by the Company of exceptions or objections to any account required under this Section 7.1 within 90 days, the Company shall be deemed to have approved such account; in such case, or upon the written approval by the Company of any such account, the Trustee shall be released, relieved and discharged with respect to all matters and things set forth in such account as though such account had been settled by the decree of a court of competent jurisdiction. The Trustee may conclusively rely on determinations of the Company of valuations for assets of the Trust for which there is no readily available sources from which the fair market value may be obtained and on determinations of the issuing insurance company of valuations for insurance contracts/policies.</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D2D2D"/>
        </w:rPr>
        <w:t xml:space="preserve">VIII.  </w:t>
      </w:r>
      <w:r>
        <w:rPr>
          <w:rFonts w:ascii="Times New Roman" w:cs="Times New Roman" w:eastAsia="Times New Roman" w:hAnsi="Times New Roman"/>
          <w:sz w:val="22"/>
          <w:szCs w:val="22"/>
          <w:u w:val="single" w:color="auto"/>
          <w:color w:val="2D2D2D"/>
        </w:rPr>
        <w:t>RESPONSIBILITY AND INDEMNIFICATION OF THE TRUSTEE</w:t>
      </w:r>
    </w:p>
    <w:p>
      <w:pPr>
        <w:spacing w:after="0" w:line="247"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2D2D2D"/>
        </w:rPr>
        <w:t xml:space="preserve">8.1 The duties and responsibilities of the Trustee shall be governed solely by and limited to those expressly set forth in this Trust Agreement without reference to the terms of any Agreement </w:t>
      </w:r>
      <w:r>
        <w:rPr>
          <w:rFonts w:ascii="Times New Roman" w:cs="Times New Roman" w:eastAsia="Times New Roman" w:hAnsi="Times New Roman"/>
          <w:sz w:val="22"/>
          <w:szCs w:val="22"/>
          <w:color w:val="000000"/>
        </w:rPr>
        <w:t>or the Executive Severance Plan</w:t>
      </w:r>
      <w:r>
        <w:rPr>
          <w:rFonts w:ascii="Times New Roman" w:cs="Times New Roman" w:eastAsia="Times New Roman" w:hAnsi="Times New Roman"/>
          <w:sz w:val="22"/>
          <w:szCs w:val="22"/>
          <w:color w:val="2D2D2D"/>
        </w:rPr>
        <w:t>, and no implied covenants or obligations shall be read into this Trust Agreement against the Trustee.</w:t>
      </w:r>
    </w:p>
    <w:p>
      <w:pPr>
        <w:spacing w:after="0" w:line="19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2D2D2D"/>
        </w:rPr>
        <w:t>8.2 If all or any part of the Trust assets are at any time attached, garnished, or levied upon by any court order, or in case the payment, assignment, transfer, conveyance or delivery of any such property shall be stayed or enjoined by any court order, or in case any order, judgment or decree shall be made or entered by a court affecting such property or any part of such property, then and in any of such events the Trustee shall be authorized to rely upon and comply with any such order, judgment or decree, and it shall not be liable to the Company or any Trust Beneficiary by reason of such compliance even though such order, judgment or decree subsequently may be reversed, modified, annulled, set aside or vacated.</w:t>
      </w:r>
    </w:p>
    <w:p>
      <w:pPr>
        <w:spacing w:after="0" w:line="208"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2D2D2D"/>
        </w:rPr>
        <w:t>8.3 The Trustee shall act with the care, skill, prudence and diligence under the circumstances then prevailing that a prudent man acting in a like capacity and familiar with such matters would use in the conduct of an enterprise of a like character and with like aims; provided, however, that the Trustee shall incur no liability to anyone for any action taken or not taken pursuant to the terms of this Trust Agreement, except to the extent such liability arises directly from the Trustee's negligence or willful misconduct in the performance of responsibilities specifically allocated to it under the Trust Agreement (including the failure to carry out in accordance with its terms any direction provided by the Company in accordance with the terms of the Trust Agreement). Each of the Company and the Trustee shall discharge its responsibilities in accordance with the terms of this Trust Agreement.</w:t>
      </w:r>
    </w:p>
    <w:p>
      <w:pPr>
        <w:spacing w:after="0" w:line="20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2D2D2D"/>
        </w:rPr>
        <w:t>8.4</w:t>
      </w:r>
      <w:r>
        <w:rPr>
          <w:sz w:val="20"/>
          <w:szCs w:val="20"/>
          <w:color w:val="auto"/>
        </w:rPr>
        <w:tab/>
      </w:r>
      <w:r>
        <w:rPr>
          <w:rFonts w:ascii="Times New Roman" w:cs="Times New Roman" w:eastAsia="Times New Roman" w:hAnsi="Times New Roman"/>
          <w:sz w:val="21"/>
          <w:szCs w:val="21"/>
          <w:color w:val="2D2D2D"/>
        </w:rPr>
        <w:t>The Trustee may select and consult with legal counsel (who shall not be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395"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2D2D2D"/>
        </w:rPr>
        <w:t>for the Company) with respect to any of its duties or obligations hereunder.</w:t>
      </w:r>
    </w:p>
    <w:p>
      <w:pPr>
        <w:spacing w:after="0" w:line="24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2D2D2D"/>
        </w:rPr>
        <w:t>8.5 The Trustee shall be reimbursed by the Company for its reasonable expenses incurred in connection with the performance of its duties (including, but not limited to, the fees and expenses of counsel, accountants and others incurred pursuant to Sections 3.1, 8.4 or 8.11 for which the Company has received prior written notice from the Trustee, provided that such notice shall only be provided with respect to fees and expenses of an individual professional retained in accordance with the aforementioned sections and for which the Trustee reasonably expects such fees and expenses to exceed $5,000) and shall be paid fees as agreed to in writing by the Company on the one hand and the Trustee on the other hand, from time to time for the performance of its duties hereunder.</w:t>
      </w:r>
    </w:p>
    <w:p>
      <w:pPr>
        <w:spacing w:after="0" w:line="22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2D2D2D"/>
        </w:rPr>
        <w:t>8.6 The Company (which has the authority to do so under the laws of its state of incorporation), agrees to indemnify and defend and hold harmless the Trustee from and against any and all liabilities, suits, damages, losses, claims or expenses incurred of whatsoever kind and nature (including, but not limited to, expenses of investigation and fees and disbursements of legal counsel to the Trustee, and further including any taxes imposed on the Trust assets or income of the Trust) which may be imposed upon, asserted against or incurred by The Northern Trust Company at any time: (1) by reason of its carrying out its responsibilities or providing services under this Trust Agreement, or its status as the Trustee, or by reason of any act or failure to act under this Trust Agreement, except to the extent that any such liability, loss, claim, suit or expense arises directly from the Trustee's negligence or willful misconduct in the performance of responsibilities specifically allocated to it under the Trust Agreement, or (2) by reason of the Trust's failure to qualify as a grantor trust under the IRS grantor trust rules or any Agreement's failure to qualify as an excess benefit or top-hat plan exempt from all or Parts 2, 3, and 4 of Title 1 of ERISA. The Trustee shall not be required to undertake or to defend any litigation or arbitration arising in connection with this Trust Agreement unless: (i) the Trustee consents to such undertaking (which consent shall not be unreasonably withheld); and (ii) it be first indemnified by the Company against its prospective costs, expenses and liabilities (including, without limitation, attorneys' fees and expenses), and the Company agrees to indemnify the Trustee and be primarily liable for such costs, expenses and liabilities to the extent the Trustee provides notice of such fees and expenses where practicable. Any amount payable to the Trustee under Section 8.5 or this Section 8.6 shall be paid from the assets of the Trust. In the event the assets of the Trust are insufficient to cover such amounts, the Trustee shall be paid by the Company promptly upon demand by the Trustee, and within 30 days of such demand (unless the Company objects in writing to the payment of all or a portion of the amount demanded). In the event that payment is made to the Trustee from the Trust assets, the Trustee shall promptly notify the Company in writing of the amount of such payment. The Company agrees that, upon receipt of such notice, it will deliver to the Trustee to be held in the Trust an amount in cash equal to any payments made from the Trust assets to the Trustee pursuant to Section 8.5 or this Section 8.6. The failure of the Company to transfer any such amount shall not in any way impair the Trustee's right to indemnification, reimbursement and payment pursuant to Section 8.5 or this Section 8.6. This paragraph shall survive the termination of this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2" w:right="339" w:bottom="1440" w:gutter="0" w:footer="0" w:header="0"/>
        </w:sectPr>
      </w:pPr>
    </w:p>
    <w:bookmarkStart w:id="120" w:name="page121"/>
    <w:bookmarkEnd w:id="120"/>
    <w:p>
      <w:pPr>
        <w:jc w:val="both"/>
        <w:ind w:firstLine="648"/>
        <w:spacing w:after="0" w:line="257" w:lineRule="auto"/>
        <w:rPr>
          <w:sz w:val="20"/>
          <w:szCs w:val="20"/>
          <w:color w:val="auto"/>
        </w:rPr>
      </w:pPr>
      <w:r>
        <w:rPr>
          <w:rFonts w:ascii="Times New Roman" w:cs="Times New Roman" w:eastAsia="Times New Roman" w:hAnsi="Times New Roman"/>
          <w:sz w:val="22"/>
          <w:szCs w:val="22"/>
          <w:color w:val="2D2D2D"/>
        </w:rPr>
        <w:t>8.7 At the direction of the Company, the Trustee may vote any stock or other securities and exercise any right appurtenant to any stock, other securities or other property it holds, either in person or by general or limited proxy, power of attorney or other instrument.</w:t>
      </w:r>
    </w:p>
    <w:p>
      <w:pPr>
        <w:spacing w:after="0" w:line="213" w:lineRule="exact"/>
        <w:rPr>
          <w:sz w:val="20"/>
          <w:szCs w:val="20"/>
          <w:color w:val="auto"/>
        </w:rPr>
      </w:pPr>
    </w:p>
    <w:p>
      <w:pPr>
        <w:jc w:val="both"/>
        <w:ind w:right="60" w:firstLine="648"/>
        <w:spacing w:after="0" w:line="252" w:lineRule="auto"/>
        <w:rPr>
          <w:sz w:val="20"/>
          <w:szCs w:val="20"/>
          <w:color w:val="auto"/>
        </w:rPr>
      </w:pPr>
      <w:r>
        <w:rPr>
          <w:rFonts w:ascii="Times New Roman" w:cs="Times New Roman" w:eastAsia="Times New Roman" w:hAnsi="Times New Roman"/>
          <w:sz w:val="22"/>
          <w:szCs w:val="22"/>
          <w:color w:val="2D2D2D"/>
        </w:rPr>
        <w:t>8.8 The Trustee may hold securities in bearer form and may register securities and other property held in the Trust fund in its own name or in the name of a nominee, combine certificates representing securities with certificates of the same issue held by the Trustee in other fiduciary capacities, and deposit, or arrange for deposit of, property with any depository; provided that the books and records of the Trustee shall at all times show that all such securities are part of the assets of the Trust.</w:t>
      </w:r>
    </w:p>
    <w:p>
      <w:pPr>
        <w:spacing w:after="0" w:line="206"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22"/>
          <w:szCs w:val="22"/>
          <w:color w:val="2D2D2D"/>
        </w:rPr>
        <w:t>8.9 All rights associated with assets of the Trust shall be exercised by the Trustee or the person designated by the Trustee, and shall in no event be exercisable by or rest with the Participants.</w:t>
      </w:r>
    </w:p>
    <w:p>
      <w:pPr>
        <w:spacing w:after="0" w:line="171"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2D2D2D"/>
        </w:rPr>
        <w:t>8.10 The Trustee may exercise all rights appurtenant to any letter of credit made payable to the Trustee of the Trust for the benefit of the Trust in accordance with the terms of such letter of credit.</w:t>
      </w:r>
    </w:p>
    <w:p>
      <w:pPr>
        <w:spacing w:after="0" w:line="185" w:lineRule="exact"/>
        <w:rPr>
          <w:sz w:val="20"/>
          <w:szCs w:val="20"/>
          <w:color w:val="auto"/>
        </w:rPr>
      </w:pPr>
    </w:p>
    <w:p>
      <w:pPr>
        <w:ind w:right="140" w:firstLine="729"/>
        <w:spacing w:after="0" w:line="253" w:lineRule="auto"/>
        <w:rPr>
          <w:sz w:val="20"/>
          <w:szCs w:val="20"/>
          <w:color w:val="auto"/>
        </w:rPr>
      </w:pPr>
      <w:r>
        <w:rPr>
          <w:rFonts w:ascii="Times New Roman" w:cs="Times New Roman" w:eastAsia="Times New Roman" w:hAnsi="Times New Roman"/>
          <w:sz w:val="22"/>
          <w:szCs w:val="22"/>
          <w:color w:val="2D2D2D"/>
        </w:rPr>
        <w:t>8.11 The Trustee may hire agents, accountants, actuaries, investment advisors, financial consultants or other professionals, who may be agents, accountants, actuaries, investment advisors, financial consultants, or otherwise act in a professional capacity, as the case may be, for the Company or with respect to any Agreement, to assist the Trustee in performing any of its duties. All expenses in connection with this Section shall be allowed as authorized expenses of the Trust, and if the Trust assets are not sufficient to cover such expenses, shall be payable by the Company.</w:t>
      </w:r>
    </w:p>
    <w:p>
      <w:pPr>
        <w:spacing w:after="0" w:line="20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2D2D2D"/>
        </w:rPr>
        <w:t>8.12 (a) As directed by the Company, the Trustee shall take all actions in order to collect any life insurance, annuity, or other benefits or payments of which the Trust is the designated beneficiary. The Company shall pay directly all premiums and other charges due thereon in a timely manner, or direct the Trustee to pay all such premiums and charges that are not so paid by the Company. To the extent the Trust contains cash or its equivalent readily available for such purpose or policy loans and/or dividends are available, the Trustee shall pay premiums due with such cash or its equivalent or policy loans and/or dividends, as directed by the Company. If the Trust does not have sufficient cash or its equivalent readily available and policy loans and dividends are not available, then the Company shall direct the Trustee to liquidate other assets held in the Trust to generate the necessary cash.</w:t>
      </w:r>
    </w:p>
    <w:p>
      <w:pPr>
        <w:spacing w:after="0" w:line="222" w:lineRule="exact"/>
        <w:rPr>
          <w:sz w:val="20"/>
          <w:szCs w:val="20"/>
          <w:color w:val="auto"/>
        </w:rPr>
      </w:pPr>
    </w:p>
    <w:p>
      <w:pPr>
        <w:ind w:firstLine="1313"/>
        <w:spacing w:after="0" w:line="253" w:lineRule="auto"/>
        <w:tabs>
          <w:tab w:leader="none" w:pos="1944" w:val="left"/>
        </w:tabs>
        <w:numPr>
          <w:ilvl w:val="0"/>
          <w:numId w:val="49"/>
        </w:numPr>
        <w:rPr>
          <w:rFonts w:ascii="Times New Roman" w:cs="Times New Roman" w:eastAsia="Times New Roman" w:hAnsi="Times New Roman"/>
          <w:sz w:val="19"/>
          <w:szCs w:val="19"/>
          <w:color w:val="2D2D2D"/>
        </w:rPr>
      </w:pPr>
      <w:r>
        <w:rPr>
          <w:rFonts w:ascii="Times New Roman" w:cs="Times New Roman" w:eastAsia="Times New Roman" w:hAnsi="Times New Roman"/>
          <w:sz w:val="22"/>
          <w:szCs w:val="22"/>
          <w:color w:val="2D2D2D"/>
        </w:rPr>
        <w:t>The Trust shall be named sole owner and beneficiary of each life insurance policy held in the Trust and shall have full authority and power to exercise all rights of ownership relating to the policy, except the Trustee shall have no power, other than in accordance with Articles IV and XI hereof, to name a beneficiary of the policy other than the Trust, to assign the policy (as distinct from conversion of the policy to a different form) other than to a successor trustee, to lend to any person the proceeds of any borrowing against such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2" w:right="339" w:bottom="1440" w:gutter="0" w:footer="0" w:header="0"/>
        </w:sectPr>
      </w:pPr>
    </w:p>
    <w:bookmarkStart w:id="121" w:name="page122"/>
    <w:bookmarkEnd w:id="121"/>
    <w:p>
      <w:pPr>
        <w:ind w:right="520"/>
        <w:spacing w:after="0" w:line="271" w:lineRule="auto"/>
        <w:rPr>
          <w:sz w:val="20"/>
          <w:szCs w:val="20"/>
          <w:color w:val="auto"/>
        </w:rPr>
      </w:pPr>
      <w:r>
        <w:rPr>
          <w:rFonts w:ascii="Times New Roman" w:cs="Times New Roman" w:eastAsia="Times New Roman" w:hAnsi="Times New Roman"/>
          <w:sz w:val="22"/>
          <w:szCs w:val="22"/>
          <w:color w:val="2D2D2D"/>
        </w:rPr>
        <w:t>policy or to surrender any policy or allow any policy to lapse at any time when there are other assets in the Trust that can be disposed of or otherwise used to generate any cash necessary to maintain the policy.</w:t>
      </w:r>
    </w:p>
    <w:p>
      <w:pPr>
        <w:spacing w:after="0" w:line="185" w:lineRule="exact"/>
        <w:rPr>
          <w:sz w:val="20"/>
          <w:szCs w:val="20"/>
          <w:color w:val="auto"/>
        </w:rPr>
      </w:pPr>
    </w:p>
    <w:p>
      <w:pPr>
        <w:ind w:firstLine="1304"/>
        <w:spacing w:after="0" w:line="253" w:lineRule="auto"/>
        <w:tabs>
          <w:tab w:leader="none" w:pos="1748" w:val="left"/>
        </w:tabs>
        <w:numPr>
          <w:ilvl w:val="0"/>
          <w:numId w:val="50"/>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color w:val="2D2D2D"/>
        </w:rPr>
        <w:t>The Trustee shall have the power, at the direction of the Company (upon which direction the Trustee may conclusively rely), to exchange that portion, if any, of the life insurance coverage on any Participant that is in excess of the amount of such coverage necessary to provide sufficient proceeds to pay the corresponding amount of Benefits, for additional life insurance coverage on other Participants. At the direction of the Company, the Trustee shall also have the power to acquire additional life insurance coverage on Participants through application for new life insurance.</w:t>
      </w:r>
    </w:p>
    <w:p>
      <w:pPr>
        <w:spacing w:after="0" w:line="206" w:lineRule="exact"/>
        <w:rPr>
          <w:sz w:val="20"/>
          <w:szCs w:val="20"/>
          <w:color w:val="auto"/>
        </w:rPr>
      </w:pPr>
    </w:p>
    <w:p>
      <w:pPr>
        <w:ind w:left="2320"/>
        <w:spacing w:after="0"/>
        <w:tabs>
          <w:tab w:leader="none" w:pos="2760" w:val="left"/>
        </w:tabs>
        <w:rPr>
          <w:sz w:val="20"/>
          <w:szCs w:val="20"/>
          <w:color w:val="auto"/>
        </w:rPr>
      </w:pPr>
      <w:r>
        <w:rPr>
          <w:rFonts w:ascii="Times New Roman" w:cs="Times New Roman" w:eastAsia="Times New Roman" w:hAnsi="Times New Roman"/>
          <w:sz w:val="22"/>
          <w:szCs w:val="22"/>
          <w:color w:val="2D2D2D"/>
        </w:rPr>
        <w:t>IX.</w:t>
      </w:r>
      <w:r>
        <w:rPr>
          <w:sz w:val="20"/>
          <w:szCs w:val="20"/>
          <w:color w:val="auto"/>
        </w:rPr>
        <w:tab/>
      </w:r>
      <w:r>
        <w:rPr>
          <w:rFonts w:ascii="Times New Roman" w:cs="Times New Roman" w:eastAsia="Times New Roman" w:hAnsi="Times New Roman"/>
          <w:sz w:val="21"/>
          <w:szCs w:val="21"/>
          <w:u w:val="single" w:color="auto"/>
          <w:color w:val="2D2D2D"/>
        </w:rPr>
        <w:t>AMENDMENTS, ETC., TO AGREEMENTS</w:t>
      </w:r>
    </w:p>
    <w:p>
      <w:pPr>
        <w:spacing w:after="0" w:line="260" w:lineRule="exact"/>
        <w:rPr>
          <w:sz w:val="20"/>
          <w:szCs w:val="20"/>
          <w:color w:val="auto"/>
        </w:rPr>
      </w:pPr>
    </w:p>
    <w:p>
      <w:pPr>
        <w:ind w:left="160" w:right="80" w:firstLine="648"/>
        <w:spacing w:after="0" w:line="257" w:lineRule="auto"/>
        <w:rPr>
          <w:sz w:val="20"/>
          <w:szCs w:val="20"/>
          <w:color w:val="auto"/>
        </w:rPr>
      </w:pPr>
      <w:r>
        <w:rPr>
          <w:rFonts w:ascii="Times New Roman" w:cs="Times New Roman" w:eastAsia="Times New Roman" w:hAnsi="Times New Roman"/>
          <w:sz w:val="22"/>
          <w:szCs w:val="22"/>
          <w:color w:val="2D2D2D"/>
        </w:rPr>
        <w:t>9.1 Any amendment, restatement, successor or other change in an Agreement or the addition of a new Agreement that would materially increase the responsibilities or liabilities of the Trustee or materially change its rights and duties shall also require the written consent of the Trustee.</w:t>
      </w:r>
    </w:p>
    <w:p>
      <w:pPr>
        <w:spacing w:after="0" w:line="200" w:lineRule="exact"/>
        <w:rPr>
          <w:sz w:val="20"/>
          <w:szCs w:val="20"/>
          <w:color w:val="auto"/>
        </w:rPr>
      </w:pPr>
    </w:p>
    <w:p>
      <w:pPr>
        <w:ind w:left="3000" w:hanging="388"/>
        <w:spacing w:after="0"/>
        <w:tabs>
          <w:tab w:leader="none" w:pos="3000" w:val="left"/>
        </w:tabs>
        <w:numPr>
          <w:ilvl w:val="0"/>
          <w:numId w:val="51"/>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u w:val="single" w:color="auto"/>
          <w:color w:val="2D2D2D"/>
        </w:rPr>
        <w:t>REPLACEMENT OF THE TRUSTEE</w:t>
      </w:r>
    </w:p>
    <w:p>
      <w:pPr>
        <w:spacing w:after="0" w:line="247" w:lineRule="exact"/>
        <w:rPr>
          <w:sz w:val="20"/>
          <w:szCs w:val="20"/>
          <w:color w:val="auto"/>
        </w:rPr>
      </w:pPr>
    </w:p>
    <w:p>
      <w:pPr>
        <w:ind w:right="20" w:firstLine="655"/>
        <w:spacing w:after="0" w:line="248" w:lineRule="auto"/>
        <w:rPr>
          <w:sz w:val="20"/>
          <w:szCs w:val="20"/>
          <w:color w:val="auto"/>
        </w:rPr>
      </w:pPr>
      <w:r>
        <w:rPr>
          <w:rFonts w:ascii="Times New Roman" w:cs="Times New Roman" w:eastAsia="Times New Roman" w:hAnsi="Times New Roman"/>
          <w:sz w:val="22"/>
          <w:szCs w:val="22"/>
          <w:color w:val="2D2D2D"/>
        </w:rPr>
        <w:t>10.1 The Trustee may resign and be discharged from its duties after providing not less than 90 days' notice in writing to the Company. The Trustee may be removed at any time upon notice in writing by the Company. A replacement or successor trustee shall be appointed by the Company. No such removal or resignation shall become effective until the effectiveness of the acceptance of the Trust by a successor trustee designated in accordance with this Article X. If no successor trustee is appointed within a reasonable period of time, the Trustee shall petition a court of competent jurisdiction to appoint a successor trustee or for instructions. Upon the acceptance of the Trust by a successor trustee, the Trustee shall release all of the moneys and other property (net of a reserve for such amount as may be necessary for the payment of the Trustee's fees and expenses incurred prior to the successor trustee's acceptance) in the Trust to its successor, who after such time shall for all purposes of this Trust Agreement be considered to be the "Trustee." In the event of its removal or resignation, the Trustee shall duly file with the Company a written statement or statements of accounts and proceedings as provided in Section 7.1 for the period since the last previous accounting of the Trust.</w:t>
      </w:r>
    </w:p>
    <w:p>
      <w:pPr>
        <w:spacing w:after="0" w:line="216" w:lineRule="exact"/>
        <w:rPr>
          <w:sz w:val="20"/>
          <w:szCs w:val="20"/>
          <w:color w:val="auto"/>
        </w:rPr>
      </w:pPr>
    </w:p>
    <w:p>
      <w:pPr>
        <w:ind w:left="1260"/>
        <w:spacing w:after="0"/>
        <w:tabs>
          <w:tab w:leader="none" w:pos="1700" w:val="left"/>
        </w:tabs>
        <w:rPr>
          <w:sz w:val="20"/>
          <w:szCs w:val="20"/>
          <w:color w:val="auto"/>
        </w:rPr>
      </w:pPr>
      <w:r>
        <w:rPr>
          <w:rFonts w:ascii="Times New Roman" w:cs="Times New Roman" w:eastAsia="Times New Roman" w:hAnsi="Times New Roman"/>
          <w:sz w:val="22"/>
          <w:szCs w:val="22"/>
          <w:color w:val="2D2D2D"/>
        </w:rPr>
        <w:t>XI.</w:t>
      </w:r>
      <w:r>
        <w:rPr>
          <w:sz w:val="20"/>
          <w:szCs w:val="20"/>
          <w:color w:val="auto"/>
        </w:rPr>
        <w:tab/>
      </w:r>
      <w:r>
        <w:rPr>
          <w:rFonts w:ascii="Times New Roman" w:cs="Times New Roman" w:eastAsia="Times New Roman" w:hAnsi="Times New Roman"/>
          <w:sz w:val="21"/>
          <w:szCs w:val="21"/>
          <w:u w:val="single" w:color="auto"/>
          <w:color w:val="2D2D2D"/>
        </w:rPr>
        <w:t>AMENDMENT OR TERMINATION OF THE TRUST AGREEMENT</w:t>
      </w:r>
    </w:p>
    <w:p>
      <w:pPr>
        <w:spacing w:after="0" w:line="260"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2D2D2D"/>
        </w:rPr>
        <w:t>11.1 This Trust Agreement may be amended at any time and to any extent by a written instrument executed by the Trustee and the Company; provided, however, that no amendment shall have the effect of (a) making the Trust revocable after it has become irrevocable under Section 1.1 or (b) altering Section 8.12(b) or 11.2 hereof. Following the occurrence of a Change in Control, as defined in Article XIV, the Trust may only be amended if the amendment is approved in writing by a group of Participants who constitute one-half of all Participants whose Benefits payable under the Trust also represent at least 50% of all Benefits payable to all Participants under the Trust, as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422" w:right="359" w:bottom="1440" w:gutter="0" w:footer="0" w:header="0"/>
        </w:sectPr>
      </w:pPr>
    </w:p>
    <w:bookmarkStart w:id="122" w:name="page123"/>
    <w:bookmarkEnd w:id="122"/>
    <w:p>
      <w:pPr>
        <w:ind w:right="380"/>
        <w:spacing w:after="0" w:line="271" w:lineRule="auto"/>
        <w:rPr>
          <w:sz w:val="20"/>
          <w:szCs w:val="20"/>
          <w:color w:val="auto"/>
        </w:rPr>
      </w:pPr>
      <w:r>
        <w:rPr>
          <w:rFonts w:ascii="Times New Roman" w:cs="Times New Roman" w:eastAsia="Times New Roman" w:hAnsi="Times New Roman"/>
          <w:sz w:val="22"/>
          <w:szCs w:val="22"/>
          <w:color w:val="2D2D2D"/>
        </w:rPr>
        <w:t>of the effective date of such amendment, as certified to in writing by the Company (upon which certification the Trustee may conclusively rely).</w:t>
      </w:r>
    </w:p>
    <w:p>
      <w:pPr>
        <w:spacing w:after="0" w:line="185" w:lineRule="exact"/>
        <w:rPr>
          <w:sz w:val="20"/>
          <w:szCs w:val="20"/>
          <w:color w:val="auto"/>
        </w:rPr>
      </w:pPr>
    </w:p>
    <w:p>
      <w:pPr>
        <w:jc w:val="center"/>
        <w:ind w:right="2360"/>
        <w:spacing w:after="0"/>
        <w:tabs>
          <w:tab w:leader="none" w:pos="200" w:val="left"/>
        </w:tabs>
        <w:rPr>
          <w:sz w:val="20"/>
          <w:szCs w:val="20"/>
          <w:color w:val="auto"/>
        </w:rPr>
      </w:pPr>
      <w:r>
        <w:rPr>
          <w:rFonts w:ascii="Times New Roman" w:cs="Times New Roman" w:eastAsia="Times New Roman" w:hAnsi="Times New Roman"/>
          <w:sz w:val="22"/>
          <w:szCs w:val="22"/>
          <w:color w:val="2D2D2D"/>
        </w:rPr>
        <w:t>11.2</w:t>
      </w:r>
      <w:r>
        <w:rPr>
          <w:sz w:val="20"/>
          <w:szCs w:val="20"/>
          <w:color w:val="auto"/>
        </w:rPr>
        <w:tab/>
      </w:r>
      <w:r>
        <w:rPr>
          <w:rFonts w:ascii="Times New Roman" w:cs="Times New Roman" w:eastAsia="Times New Roman" w:hAnsi="Times New Roman"/>
          <w:sz w:val="21"/>
          <w:szCs w:val="21"/>
          <w:color w:val="2D2D2D"/>
        </w:rPr>
        <w:t>The Trust shall terminate at such time as the Trust no longer contains any assets.</w:t>
      </w:r>
    </w:p>
    <w:p>
      <w:pPr>
        <w:spacing w:after="0" w:line="2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2D2D2D"/>
        </w:rPr>
        <w:t xml:space="preserve">XII.  </w:t>
      </w:r>
      <w:r>
        <w:rPr>
          <w:rFonts w:ascii="Times New Roman" w:cs="Times New Roman" w:eastAsia="Times New Roman" w:hAnsi="Times New Roman"/>
          <w:sz w:val="22"/>
          <w:szCs w:val="22"/>
          <w:u w:val="single" w:color="auto"/>
          <w:color w:val="2D2D2D"/>
        </w:rPr>
        <w:t>SPECIAL DISTRIBUTIONS</w:t>
      </w:r>
    </w:p>
    <w:p>
      <w:pPr>
        <w:spacing w:after="0" w:line="247"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2D2D2D"/>
        </w:rPr>
        <w:t>12.1 It is intended that (a) the creation of, transfer of assets to, and irrevocability of, the Trust will not cause any Agreement to be other than "unfunded" for purposes of Title I of ERISA, (b) transfers of assets to the Trust will not be transfers of property for purposes of Section 83 of the Code, or any successor provision thereto, nor will such transfers or irrevocability cause a currently taxable benefit to be realized by a Trust Beneficiary pursuant to the "economic benefit" doctrine and (c) pursuant to Section 451 of the Code and Section 409A of the Code, or any successor provision thereto, amounts will be includable as compensation in the gross income of a Trust Beneficiary in the taxable year or years in which such amounts are actually distributed or made available to such Trust Beneficiary by the Trustee.</w:t>
      </w:r>
    </w:p>
    <w:p>
      <w:pPr>
        <w:spacing w:after="0" w:line="20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2D2D2D"/>
        </w:rPr>
        <w:t xml:space="preserve">12.2 Notwithstanding anything to the contrary contained in any Agreement </w:t>
      </w:r>
      <w:r>
        <w:rPr>
          <w:rFonts w:ascii="Times New Roman" w:cs="Times New Roman" w:eastAsia="Times New Roman" w:hAnsi="Times New Roman"/>
          <w:sz w:val="21"/>
          <w:szCs w:val="21"/>
          <w:color w:val="000000"/>
        </w:rPr>
        <w:t>or the Executive Severance Plan</w:t>
      </w:r>
      <w:r>
        <w:rPr>
          <w:rFonts w:ascii="Times New Roman" w:cs="Times New Roman" w:eastAsia="Times New Roman" w:hAnsi="Times New Roman"/>
          <w:sz w:val="21"/>
          <w:szCs w:val="21"/>
          <w:color w:val="2D2D2D"/>
        </w:rPr>
        <w:t xml:space="preserve">, if the Company obtains an opinion of tax counsel selected by the Company to the effect that based upon any of the following occurring after the date of this Trust Agreement (a) a change in the federal tax or revenue laws, (b) a decision in a controlling case, (c) a published ruling or similar announcement issued by the Internal Revenue Service, (d) a regulation issued by the Secretary of the Treasury, (e) a decision by a court of competent jurisdiction involving a Trust Beneficiary, or (f) a closing agreement made under Section 7121 of the Code, or any successor provision thereto, that is approved by the Internal Revenue Service and involves a Trust Beneficiary, it is more likely than not that an amount is includable in the gross income of a Trust Beneficiary in a taxable year that is prior to the taxable year or years in which such amount would, but for this Section 12.2, otherwise actually be distributed or made available to such Trust Beneficiary by the Trustee, then, to the extent the Company determines in its sole discretion for purposes of this Trust Agreement that it is permitted under Section 409A of the Code and any regulations or other guidance issued thereunder, the Company shall direct the Trustee to distribute to each such affected Trust Beneficiary an amount equal to the amount determined to be includable in gross income in such prior taxable year. The Company shall seek such an opinion of tax counsel if and only if requested to do so by the written consent of the Participants. The Trustee shall have no responsibility for ensuring that any such opinion has been obtained or any such distribution </w:t>
      </w:r>
      <w:r>
        <w:rPr>
          <w:rFonts w:ascii="Times New Roman" w:cs="Times New Roman" w:eastAsia="Times New Roman" w:hAnsi="Times New Roman"/>
          <w:sz w:val="21"/>
          <w:szCs w:val="21"/>
          <w:color w:val="3F3F3F"/>
        </w:rPr>
        <w:t>is</w:t>
      </w:r>
      <w:r>
        <w:rPr>
          <w:rFonts w:ascii="Times New Roman" w:cs="Times New Roman" w:eastAsia="Times New Roman" w:hAnsi="Times New Roman"/>
          <w:sz w:val="21"/>
          <w:szCs w:val="21"/>
          <w:color w:val="2D2D2D"/>
        </w:rPr>
        <w:t xml:space="preserve"> permitted and shall follow the directions of the Company with respect to such distributions as if such direction was provided pursuant to Article II.</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2D2D2D"/>
        </w:rPr>
        <w:t xml:space="preserve">12.3 Notwithstanding anything to the contrary contained in the Agreements </w:t>
      </w:r>
      <w:r>
        <w:rPr>
          <w:rFonts w:ascii="Times New Roman" w:cs="Times New Roman" w:eastAsia="Times New Roman" w:hAnsi="Times New Roman"/>
          <w:sz w:val="22"/>
          <w:szCs w:val="22"/>
          <w:color w:val="000000"/>
        </w:rPr>
        <w:t>or the Executive Severance Plan</w:t>
      </w:r>
      <w:r>
        <w:rPr>
          <w:rFonts w:ascii="Times New Roman" w:cs="Times New Roman" w:eastAsia="Times New Roman" w:hAnsi="Times New Roman"/>
          <w:sz w:val="22"/>
          <w:szCs w:val="22"/>
          <w:color w:val="2D2D2D"/>
        </w:rPr>
        <w:t>, if a Trust Beneficiary provides evidence satisfactory to the Company demonstrating that, as a result of an assertion by the Internal Revenue Service, a final nonappealable binding determination has been made with respect to a taxable year of such Trust Beneficiary that an amount is includable in the gross income of such Trust Beneficiary in a taxable year that is prior to the taxable year in which such amount would, but for this Section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00"/>
          </w:cols>
          <w:pgMar w:left="320" w:top="1422" w:right="379" w:bottom="1440" w:gutter="0" w:footer="0" w:header="0"/>
        </w:sectPr>
      </w:pPr>
    </w:p>
    <w:bookmarkStart w:id="123" w:name="page124"/>
    <w:bookmarkEnd w:id="123"/>
    <w:p>
      <w:pPr>
        <w:spacing w:after="0" w:line="213" w:lineRule="auto"/>
        <w:rPr>
          <w:sz w:val="20"/>
          <w:szCs w:val="20"/>
          <w:color w:val="auto"/>
        </w:rPr>
      </w:pPr>
      <w:r>
        <w:rPr>
          <w:rFonts w:ascii="Times New Roman" w:cs="Times New Roman" w:eastAsia="Times New Roman" w:hAnsi="Times New Roman"/>
          <w:sz w:val="22"/>
          <w:szCs w:val="22"/>
          <w:color w:val="2D2D2D"/>
        </w:rPr>
        <w:t>12.3, otherwise actually be distributed or made available to such Trust Beneficiary by the Trustee, then, to the extent the Company determines in its sole discretion for purposes of this Trust Agreement that it is permitted under Section 409A of the Code and any regulations or other guidance issued thereunder, the Company may direct the Trustee to distribute to such Trust Beneficiary an amount equal to such amount determined by the Internal Revenue Service to be includible in gross income in such prior taxable year. The Trustee shall have no responsibility for ensuring that any such opinion has been obtained or any such distribution is permitted and shall follow the directions of the Company with respect to such distributions as if such direction was provided pursuant to Article II.</w:t>
      </w:r>
    </w:p>
    <w:p>
      <w:pPr>
        <w:spacing w:after="0" w:line="2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2D2D2D"/>
        </w:rPr>
        <w:t xml:space="preserve">XIII.  </w:t>
      </w:r>
      <w:r>
        <w:rPr>
          <w:rFonts w:ascii="Times New Roman" w:cs="Times New Roman" w:eastAsia="Times New Roman" w:hAnsi="Times New Roman"/>
          <w:sz w:val="22"/>
          <w:szCs w:val="22"/>
          <w:u w:val="single" w:color="auto"/>
          <w:color w:val="2D2D2D"/>
        </w:rPr>
        <w:t>GENERAL PROVISIONS</w:t>
      </w:r>
    </w:p>
    <w:p>
      <w:pPr>
        <w:spacing w:after="0" w:line="247"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2D2D2D"/>
        </w:rPr>
        <w:t>13.1 The Company shall, at any time and from time to time, upon the reasonable request of the Trustee, provide information, execute and deliver such further instruments and do such further acts as may be necessary or proper to effectuate the purposes of this Trust. Any action required to be taken by the Company shall be by (i) resolution of its board of directors or (ii) by the written direction of one or more of its president, any vice president or treasurer or assistant treasurer, or (iii) by such other person or persons as shall be authorized by one or more of its president, any vice president or treasurer or assistant treasurer or by resolution of its board of directors, which resolution shall be filed with the Trustee. The Trustee may take or omit to take any action in accordance with written direction purporting to be signed by such an officer of the Company or other authorized person, or in reliance upon a certified copy of a resolution of the board of directors which the Trustee believes to be genuine. The Trustee shall have no responsibility for any action taken by the Trustee in accordance with any such resolution or direction.</w:t>
      </w:r>
    </w:p>
    <w:p>
      <w:pPr>
        <w:spacing w:after="0" w:line="197"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13.2 Each Agreement and the Executive Severance Plan shall become a part of this Trust Agreement and is expressly incorporated by reference upon delivery to and receipt by the Trustee.</w:t>
      </w:r>
    </w:p>
    <w:p>
      <w:pPr>
        <w:spacing w:after="0" w:line="185"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22"/>
          <w:szCs w:val="22"/>
          <w:color w:val="2D2D2D"/>
        </w:rPr>
        <w:t>13.3 This Trust Agreement sets forth the entire understanding of the parties with respect to its subject matter and supersedes any and all prior agreements, arrangements and understandings between the parties. This Trust Agreement shall be binding upon and inure to the benefit of the parties and their respective successors and legal representatives.</w:t>
      </w:r>
    </w:p>
    <w:p>
      <w:pPr>
        <w:spacing w:after="0" w:line="194"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2D2D2D"/>
        </w:rPr>
        <w:t>13.4 This Trust Agreement shall be governed by and construed in accordance with the laws of Illinois, without giving effect to the principles of conflict of laws thereof.</w:t>
      </w:r>
    </w:p>
    <w:p>
      <w:pPr>
        <w:spacing w:after="0" w:line="185"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color w:val="2D2D2D"/>
        </w:rPr>
        <w:t>13.5 If any provision of this Trust Agreement or the application of any provision hereof to any person or circumstances is held invalid, unenforceable or otherwise illegal, the remainder of this Trust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203"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2D2D2D"/>
        </w:rPr>
        <w:t>13.6 (a) The preamble to this Trust Agreement shall be considered a part of the agreement of the parties as if set forth in a section of this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395" w:right="359" w:bottom="1440" w:gutter="0" w:footer="0" w:header="0"/>
        </w:sectPr>
      </w:pPr>
    </w:p>
    <w:bookmarkStart w:id="124" w:name="page125"/>
    <w:bookmarkEnd w:id="124"/>
    <w:p>
      <w:pPr>
        <w:jc w:val="both"/>
        <w:ind w:right="40" w:firstLine="1304"/>
        <w:spacing w:after="0" w:line="295" w:lineRule="auto"/>
        <w:tabs>
          <w:tab w:leader="none" w:pos="1760" w:val="left"/>
        </w:tabs>
        <w:numPr>
          <w:ilvl w:val="0"/>
          <w:numId w:val="52"/>
        </w:numPr>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color w:val="2D2D2D"/>
        </w:rPr>
        <w:t>The headings and table of contents contained in this Trust Agreement are solely for the purpose of reference, are not part of the agreement of the parties and shall not in any way affect the meaning or interpretation of this Trust Agreement.</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2D2D2D"/>
        </w:rPr>
        <w:t>13.7 The right of any Trust Beneficiary to any benefit or to any payment may not be anticipated, assigned (either at law or in equity), alienated or subject to attachment, garnishment, levy, execution or other legal or equitable process except as required by law. Any attempt by any Trust Beneficiary to anticipate, alienate, assign, sell, transfer, pledge, encumber or charge the same shall be void. The Trust assets shall not in any manner be subject to the debts, contracts, liabilities, engagements or torts of any Trust Beneficiary.</w:t>
      </w:r>
    </w:p>
    <w:p>
      <w:pPr>
        <w:spacing w:after="0" w:line="20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2D2D2D"/>
        </w:rPr>
        <w:t xml:space="preserve">13.8 Any dispute between the Participants and the Company or the Trustee as to the interpretation or application of the provisions of this Trust Agreement and amounts payable may, at the election of any party to such dispute (or, if more than one Participant is such a party, at the election of two-thirds of such Participants), be determined by binding arbitration in accordance with the JAMS Comprehensive Arbitration Rules and Procedures then in effect; </w:t>
      </w:r>
      <w:r>
        <w:rPr>
          <w:rFonts w:ascii="Times New Roman" w:cs="Times New Roman" w:eastAsia="Times New Roman" w:hAnsi="Times New Roman"/>
          <w:sz w:val="21"/>
          <w:szCs w:val="21"/>
          <w:color w:val="000000"/>
        </w:rPr>
        <w:t>provided, however, this Section 13.8 shall not be</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000000"/>
        </w:rPr>
        <w:t xml:space="preserve">construed to limit the Company’s rights to interpret the Agreements in accordance with their terms or the discretionary rights to interpretation delegated under the Executive Severance Plan to NOC or the committee identified in the Executive Severance Plan in accordance with its terms. </w:t>
      </w:r>
      <w:r>
        <w:rPr>
          <w:rFonts w:ascii="Times New Roman" w:cs="Times New Roman" w:eastAsia="Times New Roman" w:hAnsi="Times New Roman"/>
          <w:sz w:val="21"/>
          <w:szCs w:val="21"/>
          <w:color w:val="2D2D2D"/>
        </w:rPr>
        <w:t>Judgment may be entered on the arbitrator's award in any court of competent jurisdiction. The fees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D2D2D"/>
        </w:rPr>
        <w:t>and expenses (including reasonable attorney's fees and expert fees) incurred in the arbitration shall be paid as directed by the arbitrator. However, all of the Trustee's fees and expenses incurred in any arbitration or enforcement proceeding to resolve a dispute between the Company and a Trust Beneficiary shall be allowed as an administrative expense of the Trust.</w:t>
      </w:r>
    </w:p>
    <w:p>
      <w:pPr>
        <w:spacing w:after="0" w:line="19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2D2D2D"/>
        </w:rPr>
        <w:t>13.9 The Trustee shall have no liability for any losses arising out of delays in performing the services it renders under this Trust Agreement when such losses result from events beyond its control, including without limitation, interruption of the business of the Trustee due to acts of God, acts of governmental authority, acts of war, riots, civil commotions, insurrections, labor difficulties (including, but not limited to, strikes and other work slippages due to slow-downs), any action of any courier or utility, mechanical or other malfunction, and electronic interruption.</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2D2D2D"/>
        </w:rPr>
        <w:t xml:space="preserve">XIV.  </w:t>
      </w:r>
      <w:r>
        <w:rPr>
          <w:rFonts w:ascii="Times New Roman" w:cs="Times New Roman" w:eastAsia="Times New Roman" w:hAnsi="Times New Roman"/>
          <w:sz w:val="22"/>
          <w:szCs w:val="22"/>
          <w:u w:val="single" w:color="auto"/>
          <w:color w:val="2D2D2D"/>
        </w:rPr>
        <w:t>CHANGE IN CONTROL</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D2D2D"/>
        </w:rPr>
        <w:t>For purposes of this Trust, a Change in Control shall mean the occurrence of any of the following events:</w:t>
      </w:r>
    </w:p>
    <w:p>
      <w:pPr>
        <w:spacing w:after="0" w:line="260" w:lineRule="exact"/>
        <w:rPr>
          <w:sz w:val="20"/>
          <w:szCs w:val="20"/>
          <w:color w:val="auto"/>
        </w:rPr>
      </w:pPr>
    </w:p>
    <w:p>
      <w:pPr>
        <w:ind w:left="1300" w:hanging="636"/>
        <w:spacing w:after="0"/>
        <w:tabs>
          <w:tab w:leader="none" w:pos="1300" w:val="left"/>
        </w:tabs>
        <w:numPr>
          <w:ilvl w:val="0"/>
          <w:numId w:val="53"/>
        </w:numPr>
        <w:rPr>
          <w:rFonts w:ascii="Times New Roman" w:cs="Times New Roman" w:eastAsia="Times New Roman" w:hAnsi="Times New Roman"/>
          <w:sz w:val="19"/>
          <w:szCs w:val="19"/>
          <w:color w:val="2D2D2D"/>
        </w:rPr>
      </w:pPr>
      <w:r>
        <w:rPr>
          <w:rFonts w:ascii="Times New Roman" w:cs="Times New Roman" w:eastAsia="Times New Roman" w:hAnsi="Times New Roman"/>
          <w:sz w:val="22"/>
          <w:szCs w:val="22"/>
          <w:color w:val="2D2D2D"/>
        </w:rPr>
        <w:t>any individual, partnership, firm, corporation, association, trust, unincorporated</w:t>
      </w:r>
    </w:p>
    <w:p>
      <w:pPr>
        <w:spacing w:after="0" w:line="200" w:lineRule="exact"/>
        <w:rPr>
          <w:rFonts w:ascii="Times New Roman" w:cs="Times New Roman" w:eastAsia="Times New Roman" w:hAnsi="Times New Roman"/>
          <w:sz w:val="19"/>
          <w:szCs w:val="19"/>
          <w:color w:val="2D2D2D"/>
        </w:rPr>
      </w:pPr>
    </w:p>
    <w:p>
      <w:pPr>
        <w:spacing w:after="0" w:line="200" w:lineRule="exact"/>
        <w:rPr>
          <w:rFonts w:ascii="Times New Roman" w:cs="Times New Roman" w:eastAsia="Times New Roman" w:hAnsi="Times New Roman"/>
          <w:sz w:val="19"/>
          <w:szCs w:val="19"/>
          <w:color w:val="2D2D2D"/>
        </w:rPr>
      </w:pPr>
    </w:p>
    <w:p>
      <w:pPr>
        <w:spacing w:after="0" w:line="200" w:lineRule="exact"/>
        <w:rPr>
          <w:rFonts w:ascii="Times New Roman" w:cs="Times New Roman" w:eastAsia="Times New Roman" w:hAnsi="Times New Roman"/>
          <w:sz w:val="19"/>
          <w:szCs w:val="19"/>
          <w:color w:val="2D2D2D"/>
        </w:rPr>
      </w:pPr>
    </w:p>
    <w:p>
      <w:pPr>
        <w:spacing w:after="0" w:line="218" w:lineRule="exact"/>
        <w:rPr>
          <w:rFonts w:ascii="Times New Roman" w:cs="Times New Roman" w:eastAsia="Times New Roman" w:hAnsi="Times New Roman"/>
          <w:sz w:val="19"/>
          <w:szCs w:val="19"/>
          <w:color w:val="2D2D2D"/>
        </w:rPr>
      </w:pPr>
    </w:p>
    <w:p>
      <w:pPr>
        <w:ind w:left="5520"/>
        <w:spacing w:after="0"/>
        <w:rPr>
          <w:rFonts w:ascii="Times New Roman" w:cs="Times New Roman" w:eastAsia="Times New Roman" w:hAnsi="Times New Roman"/>
          <w:sz w:val="19"/>
          <w:szCs w:val="19"/>
          <w:color w:val="2D2D2D"/>
        </w:rPr>
      </w:pPr>
      <w:r>
        <w:rPr>
          <w:rFonts w:ascii="Times New Roman" w:cs="Times New Roman" w:eastAsia="Times New Roman" w:hAnsi="Times New Roman"/>
          <w:sz w:val="20"/>
          <w:szCs w:val="20"/>
          <w:color w:val="auto"/>
        </w:rPr>
        <w:t>17</w:t>
      </w:r>
    </w:p>
    <w:p>
      <w:pPr>
        <w:sectPr>
          <w:pgSz w:w="11900" w:h="16838" w:orient="portrait"/>
          <w:cols w:equalWidth="0" w:num="1">
            <w:col w:w="11200"/>
          </w:cols>
          <w:pgMar w:left="320" w:top="1422" w:right="379" w:bottom="1440" w:gutter="0" w:footer="0" w:header="0"/>
        </w:sectPr>
      </w:pPr>
    </w:p>
    <w:bookmarkStart w:id="125" w:name="page126"/>
    <w:bookmarkEnd w:id="125"/>
    <w:p>
      <w:pPr>
        <w:ind w:right="20"/>
        <w:spacing w:after="0" w:line="261" w:lineRule="auto"/>
        <w:rPr>
          <w:sz w:val="20"/>
          <w:szCs w:val="20"/>
          <w:color w:val="auto"/>
        </w:rPr>
      </w:pPr>
      <w:r>
        <w:rPr>
          <w:rFonts w:ascii="Times New Roman" w:cs="Times New Roman" w:eastAsia="Times New Roman" w:hAnsi="Times New Roman"/>
          <w:sz w:val="21"/>
          <w:szCs w:val="21"/>
          <w:color w:val="2D2D2D"/>
        </w:rPr>
        <w:t>organization or other entity (other than the Company or a trustee or other fiduciary holding securities under an employee benefit plan of the Company), or any syndicate or group deemed to be a person under Section 14(d)(2) of the Securities Exchange Act of 1934, as amended (the "Exchange Act"), is or becomes the "beneficial owner" (as defined in Rule 13d-3 of the General Rules and Regulations under the Exchange Act), directly or indirectly, of securities of the Company representing 25% or more of the combined voting power of the Company's then outstanding securities entitled to vote generally in the election of directors; the Company is a party to a merger, consolidation, reorganization or other similar transaction with another corporation or other legal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97" w:lineRule="exact"/>
        <w:rPr>
          <w:sz w:val="20"/>
          <w:szCs w:val="20"/>
          <w:color w:val="auto"/>
        </w:rPr>
      </w:pPr>
    </w:p>
    <w:p>
      <w:pPr>
        <w:ind w:right="60" w:firstLine="656"/>
        <w:spacing w:after="0" w:line="250" w:lineRule="auto"/>
        <w:tabs>
          <w:tab w:leader="none" w:pos="1116" w:val="left"/>
        </w:tabs>
        <w:numPr>
          <w:ilvl w:val="1"/>
          <w:numId w:val="54"/>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color w:val="2D2D2D"/>
        </w:rPr>
        <w:t>the Company sells all or substantially all of its business and/or assets to another corporation or other legal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220" w:lineRule="exact"/>
        <w:rPr>
          <w:rFonts w:ascii="Times New Roman" w:cs="Times New Roman" w:eastAsia="Times New Roman" w:hAnsi="Times New Roman"/>
          <w:sz w:val="22"/>
          <w:szCs w:val="22"/>
          <w:color w:val="2D2D2D"/>
        </w:rPr>
      </w:pPr>
    </w:p>
    <w:p>
      <w:pPr>
        <w:ind w:firstLine="656"/>
        <w:spacing w:after="0" w:line="250" w:lineRule="auto"/>
        <w:tabs>
          <w:tab w:leader="none" w:pos="110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the Agreements, </w:t>
      </w:r>
      <w:r>
        <w:rPr>
          <w:rFonts w:ascii="Times New Roman" w:cs="Times New Roman" w:eastAsia="Times New Roman" w:hAnsi="Times New Roman"/>
          <w:sz w:val="22"/>
          <w:szCs w:val="22"/>
          <w:color w:val="2D2D2D"/>
        </w:rPr>
        <w:t>during any period of two consecutive years or less, individuals who at the beginning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D2D2D"/>
        </w:rPr>
        <w:t>of such period constituted the Board of Directors of the Company (and any new directors, whose appointment or election by the Board of Directors or nomination for election by the Company's stockholders was approved by a vote of at least two-thirds of the directors then still in office who either were directors at the beginning of the period or whose appointment, election or nomination for election was so approved) cease for any reason to constitute a majority of the Board of Directors; or</w:t>
      </w:r>
    </w:p>
    <w:p>
      <w:pPr>
        <w:spacing w:after="0" w:line="22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54"/>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color w:val="2D2D2D"/>
        </w:rPr>
        <w:t xml:space="preserve">for purposes of the Executive Severance Plan, </w:t>
      </w:r>
      <w:r>
        <w:rPr>
          <w:rFonts w:ascii="Times New Roman" w:cs="Times New Roman" w:eastAsia="Times New Roman" w:hAnsi="Times New Roman"/>
          <w:sz w:val="22"/>
          <w:szCs w:val="22"/>
          <w:color w:val="000000"/>
        </w:rPr>
        <w:t>during any period of two consecutive years or less, individuals who</w:t>
      </w:r>
    </w:p>
    <w:p>
      <w:pPr>
        <w:spacing w:after="0" w:line="27" w:lineRule="exact"/>
        <w:rPr>
          <w:rFonts w:ascii="Times New Roman" w:cs="Times New Roman" w:eastAsia="Times New Roman" w:hAnsi="Times New Roman"/>
          <w:sz w:val="22"/>
          <w:szCs w:val="22"/>
          <w:color w:val="2D2D2D"/>
        </w:rPr>
      </w:pPr>
    </w:p>
    <w:p>
      <w:pPr>
        <w:ind w:right="180" w:firstLine="8"/>
        <w:spacing w:after="0" w:line="259" w:lineRule="auto"/>
        <w:tabs>
          <w:tab w:leader="none" w:pos="35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beginning of such period constituted the Board of Directors of the Company (and any new directors, whose appointment or election by the Board of Directors or nomination for election by the Company's stockholders was approved by a vote of at least two-thirds of the directors then still in office who either were directors at the beginning of the period or whose appointment, election or nomination for election was so approved) cease for any reason to constitute a majority of the Board of Directors and (B) for a determination of a Change in Control for Executive Severance Plan Participants, have not in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2" w:right="339" w:bottom="1440" w:gutter="0" w:footer="0" w:header="0"/>
        </w:sectPr>
      </w:pPr>
    </w:p>
    <w:bookmarkStart w:id="126" w:name="page127"/>
    <w:bookmarkEnd w:id="126"/>
    <w:p>
      <w:pPr>
        <w:ind w:right="20"/>
        <w:spacing w:after="0" w:line="256" w:lineRule="auto"/>
        <w:rPr>
          <w:sz w:val="20"/>
          <w:szCs w:val="20"/>
          <w:color w:val="auto"/>
        </w:rPr>
      </w:pPr>
      <w:r>
        <w:rPr>
          <w:rFonts w:ascii="Times New Roman" w:cs="Times New Roman" w:eastAsia="Times New Roman" w:hAnsi="Times New Roman"/>
          <w:sz w:val="22"/>
          <w:szCs w:val="22"/>
          <w:color w:val="auto"/>
        </w:rPr>
        <w:t xml:space="preserve">interim during such period ceased their service as a director for any duration (without reappointment to the Board of Directors as a new director whose appointment or election was approved by a vote of at least two-thirds of the directors then still in office who either were directors at the beginning of the period and throughout such interim period or whose appointment, election or nomination for election was so approved), cease for any reason to constitute a majority of the Board of Directors </w:t>
      </w:r>
      <w:r>
        <w:rPr>
          <w:rFonts w:ascii="Times New Roman" w:cs="Times New Roman" w:eastAsia="Times New Roman" w:hAnsi="Times New Roman"/>
          <w:sz w:val="22"/>
          <w:szCs w:val="22"/>
          <w:color w:val="2D2D2D"/>
        </w:rPr>
        <w:t>.</w:t>
      </w:r>
    </w:p>
    <w:p>
      <w:pPr>
        <w:spacing w:after="0" w:line="2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Company shall immediately notify the Trustee in writing of any Change in Control. The Trustee may conclusively rely upon such notice and shall have no duty to determine whether a Change in Control has occurred.</w:t>
      </w:r>
    </w:p>
    <w:p>
      <w:pPr>
        <w:spacing w:after="0" w:line="1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2D2D2D"/>
        </w:rPr>
        <w:t xml:space="preserve">XV. </w:t>
      </w:r>
      <w:r>
        <w:rPr>
          <w:rFonts w:ascii="Times New Roman" w:cs="Times New Roman" w:eastAsia="Times New Roman" w:hAnsi="Times New Roman"/>
          <w:sz w:val="22"/>
          <w:szCs w:val="22"/>
          <w:u w:val="single" w:color="auto"/>
          <w:color w:val="2D2D2D"/>
        </w:rPr>
        <w:t>NOTICES</w:t>
      </w:r>
    </w:p>
    <w:p>
      <w:pPr>
        <w:spacing w:after="0" w:line="247" w:lineRule="exact"/>
        <w:rPr>
          <w:sz w:val="20"/>
          <w:szCs w:val="20"/>
          <w:color w:val="auto"/>
        </w:rPr>
      </w:pPr>
    </w:p>
    <w:p>
      <w:pPr>
        <w:ind w:firstLine="656"/>
        <w:spacing w:after="0" w:line="273" w:lineRule="auto"/>
        <w:rPr>
          <w:sz w:val="20"/>
          <w:szCs w:val="20"/>
          <w:color w:val="auto"/>
        </w:rPr>
      </w:pPr>
      <w:r>
        <w:rPr>
          <w:rFonts w:ascii="Times New Roman" w:cs="Times New Roman" w:eastAsia="Times New Roman" w:hAnsi="Times New Roman"/>
          <w:sz w:val="21"/>
          <w:szCs w:val="21"/>
          <w:color w:val="2D2D2D"/>
        </w:rPr>
        <w:t>For all purposes of this Trust Agreement, any communication, including without limitation, any notice, consent, report, demand or waiver required or permitted to be given shall be in writing and shall be effective upon receipt of such notice and may</w:t>
      </w:r>
    </w:p>
    <w:p>
      <w:pPr>
        <w:spacing w:after="0" w:line="218" w:lineRule="auto"/>
        <w:rPr>
          <w:sz w:val="20"/>
          <w:szCs w:val="20"/>
          <w:color w:val="auto"/>
        </w:rPr>
      </w:pPr>
      <w:r>
        <w:rPr>
          <w:rFonts w:ascii="Times New Roman" w:cs="Times New Roman" w:eastAsia="Times New Roman" w:hAnsi="Times New Roman"/>
          <w:sz w:val="22"/>
          <w:szCs w:val="22"/>
          <w:color w:val="2D2D2D"/>
        </w:rPr>
        <w:t>be delivered (i) personally,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(ii) by facsimile, or (iii) by mail and addressed as follows:</w:t>
      </w:r>
    </w:p>
    <w:p>
      <w:pPr>
        <w:spacing w:after="0" w:line="267"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1940" w:type="dxa"/>
            <w:vAlign w:val="bottom"/>
            <w:tcBorders>
              <w:bottom w:val="single" w:sz="8" w:color="2D2D2D"/>
            </w:tcBorders>
            <w:gridSpan w:val="2"/>
          </w:tcPr>
          <w:p>
            <w:pPr>
              <w:spacing w:after="0"/>
              <w:rPr>
                <w:sz w:val="20"/>
                <w:szCs w:val="20"/>
                <w:color w:val="auto"/>
              </w:rPr>
            </w:pPr>
            <w:r>
              <w:rPr>
                <w:rFonts w:ascii="Times New Roman" w:cs="Times New Roman" w:eastAsia="Times New Roman" w:hAnsi="Times New Roman"/>
                <w:sz w:val="22"/>
                <w:szCs w:val="22"/>
                <w:color w:val="2D2D2D"/>
                <w:w w:val="98"/>
              </w:rPr>
              <w:t>If to the Company, to:</w:t>
            </w:r>
          </w:p>
        </w:tc>
        <w:tc>
          <w:tcPr>
            <w:tcW w:w="4480" w:type="dxa"/>
            <w:vAlign w:val="bottom"/>
          </w:tcPr>
          <w:p>
            <w:pPr>
              <w:ind w:left="220"/>
              <w:spacing w:after="0"/>
              <w:rPr>
                <w:sz w:val="20"/>
                <w:szCs w:val="20"/>
                <w:color w:val="auto"/>
              </w:rPr>
            </w:pPr>
            <w:r>
              <w:rPr>
                <w:rFonts w:ascii="Times New Roman" w:cs="Times New Roman" w:eastAsia="Times New Roman" w:hAnsi="Times New Roman"/>
                <w:sz w:val="22"/>
                <w:szCs w:val="22"/>
                <w:color w:val="2D2D2D"/>
              </w:rPr>
              <w:t>Newell Brands Inc.</w:t>
            </w:r>
          </w:p>
        </w:tc>
      </w:tr>
      <w:tr>
        <w:trPr>
          <w:trHeight w:val="263"/>
        </w:trPr>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80" w:type="dxa"/>
            <w:vAlign w:val="bottom"/>
          </w:tcPr>
          <w:p>
            <w:pPr>
              <w:ind w:left="660"/>
              <w:spacing w:after="0"/>
              <w:rPr>
                <w:sz w:val="20"/>
                <w:szCs w:val="20"/>
                <w:color w:val="auto"/>
              </w:rPr>
            </w:pPr>
            <w:r>
              <w:rPr>
                <w:rFonts w:ascii="Times New Roman" w:cs="Times New Roman" w:eastAsia="Times New Roman" w:hAnsi="Times New Roman"/>
                <w:sz w:val="22"/>
                <w:szCs w:val="22"/>
                <w:color w:val="2D2D2D"/>
              </w:rPr>
              <w:t>c/o Bradford Turner</w:t>
            </w:r>
          </w:p>
        </w:tc>
      </w:tr>
      <w:tr>
        <w:trPr>
          <w:trHeight w:val="270"/>
        </w:trPr>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80" w:type="dxa"/>
            <w:vAlign w:val="bottom"/>
          </w:tcPr>
          <w:p>
            <w:pPr>
              <w:ind w:left="660"/>
              <w:spacing w:after="0"/>
              <w:rPr>
                <w:sz w:val="20"/>
                <w:szCs w:val="20"/>
                <w:color w:val="auto"/>
              </w:rPr>
            </w:pPr>
            <w:r>
              <w:rPr>
                <w:rFonts w:ascii="Times New Roman" w:cs="Times New Roman" w:eastAsia="Times New Roman" w:hAnsi="Times New Roman"/>
                <w:sz w:val="22"/>
                <w:szCs w:val="22"/>
                <w:color w:val="2D2D2D"/>
              </w:rPr>
              <w:t>6655 Peachtree Dunwoody Road</w:t>
            </w:r>
          </w:p>
        </w:tc>
      </w:tr>
      <w:tr>
        <w:trPr>
          <w:trHeight w:val="256"/>
        </w:trPr>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22"/>
                <w:szCs w:val="22"/>
                <w:color w:val="2D2D2D"/>
              </w:rPr>
              <w:t>Atlanta, GA 30328</w:t>
            </w:r>
          </w:p>
        </w:tc>
      </w:tr>
      <w:tr>
        <w:trPr>
          <w:trHeight w:val="270"/>
        </w:trPr>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22"/>
                <w:szCs w:val="22"/>
                <w:color w:val="2D2D2D"/>
              </w:rPr>
              <w:t>Telephone: (770) 418-7710</w:t>
            </w:r>
          </w:p>
        </w:tc>
      </w:tr>
      <w:tr>
        <w:trPr>
          <w:trHeight w:val="282"/>
        </w:trPr>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bradford.turner@newellco.com</w:t>
            </w:r>
          </w:p>
        </w:tc>
      </w:tr>
      <w:tr>
        <w:trPr>
          <w:trHeight w:val="447"/>
        </w:trPr>
        <w:tc>
          <w:tcPr>
            <w:tcW w:w="1940" w:type="dxa"/>
            <w:vAlign w:val="bottom"/>
            <w:gridSpan w:val="2"/>
          </w:tcPr>
          <w:p>
            <w:pPr>
              <w:spacing w:after="0"/>
              <w:rPr>
                <w:sz w:val="20"/>
                <w:szCs w:val="20"/>
                <w:color w:val="auto"/>
              </w:rPr>
            </w:pPr>
            <w:r>
              <w:rPr>
                <w:rFonts w:ascii="Times New Roman" w:cs="Times New Roman" w:eastAsia="Times New Roman" w:hAnsi="Times New Roman"/>
                <w:sz w:val="22"/>
                <w:szCs w:val="22"/>
                <w:color w:val="2D2D2D"/>
              </w:rPr>
              <w:t>If to the Trustee, to:</w:t>
            </w:r>
          </w:p>
        </w:tc>
        <w:tc>
          <w:tcPr>
            <w:tcW w:w="4480" w:type="dxa"/>
            <w:vAlign w:val="bottom"/>
          </w:tcPr>
          <w:p>
            <w:pPr>
              <w:ind w:left="200"/>
              <w:spacing w:after="0"/>
              <w:rPr>
                <w:sz w:val="20"/>
                <w:szCs w:val="20"/>
                <w:color w:val="auto"/>
              </w:rPr>
            </w:pPr>
            <w:r>
              <w:rPr>
                <w:rFonts w:ascii="Times New Roman" w:cs="Times New Roman" w:eastAsia="Times New Roman" w:hAnsi="Times New Roman"/>
                <w:sz w:val="22"/>
                <w:szCs w:val="22"/>
                <w:color w:val="2D2D2D"/>
              </w:rPr>
              <w:t>The Northern Trust Company c/o Nick Robles</w:t>
            </w:r>
          </w:p>
        </w:tc>
      </w:tr>
      <w:tr>
        <w:trPr>
          <w:trHeight w:val="277"/>
        </w:trPr>
        <w:tc>
          <w:tcPr>
            <w:tcW w:w="1700" w:type="dxa"/>
            <w:vAlign w:val="bottom"/>
            <w:tcBorders>
              <w:top w:val="single" w:sz="8" w:color="2D2D2D"/>
            </w:tcBorders>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22"/>
                <w:szCs w:val="22"/>
                <w:color w:val="2D2D2D"/>
                <w:w w:val="97"/>
              </w:rPr>
              <w:t>50 South La Salle Street, Chicago, IL 60603</w:t>
            </w:r>
          </w:p>
        </w:tc>
      </w:tr>
      <w:tr>
        <w:trPr>
          <w:trHeight w:val="282"/>
        </w:trPr>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22"/>
                <w:szCs w:val="22"/>
                <w:color w:val="2D2D2D"/>
              </w:rPr>
              <w:t xml:space="preserve">Telephone: </w:t>
            </w:r>
            <w:r>
              <w:rPr>
                <w:rFonts w:ascii="Times New Roman" w:cs="Times New Roman" w:eastAsia="Times New Roman" w:hAnsi="Times New Roman"/>
                <w:sz w:val="22"/>
                <w:szCs w:val="22"/>
                <w:color w:val="000000"/>
              </w:rPr>
              <w:t>312-557-3295</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60"/>
          </w:cols>
          <w:pgMar w:left="320" w:top="1422" w:right="419" w:bottom="1440" w:gutter="0" w:footer="0" w:header="0"/>
        </w:sectPr>
      </w:pPr>
    </w:p>
    <w:bookmarkStart w:id="127" w:name="page128"/>
    <w:bookmarkEnd w:id="127"/>
    <w:p>
      <w:pPr>
        <w:spacing w:after="0" w:line="374" w:lineRule="exact"/>
        <w:rPr>
          <w:sz w:val="20"/>
          <w:szCs w:val="20"/>
          <w:color w:val="auto"/>
        </w:rPr>
      </w:pPr>
    </w:p>
    <w:p>
      <w:pPr>
        <w:ind w:right="200" w:firstLine="651"/>
        <w:spacing w:after="0" w:line="271" w:lineRule="auto"/>
        <w:rPr>
          <w:sz w:val="20"/>
          <w:szCs w:val="20"/>
          <w:color w:val="auto"/>
        </w:rPr>
      </w:pPr>
      <w:r>
        <w:rPr>
          <w:rFonts w:ascii="Times New Roman" w:cs="Times New Roman" w:eastAsia="Times New Roman" w:hAnsi="Times New Roman"/>
          <w:sz w:val="22"/>
          <w:szCs w:val="22"/>
          <w:color w:val="2D2D2D"/>
        </w:rPr>
        <w:t>IN WITNESS WHEREOF, the Company and the Trustee have caused this Trust Agreement to be executed on its behalf as of the date first above written.</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Signature: /s/ Stephen B. Parsons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-13970</wp:posOffset>
            </wp:positionV>
            <wp:extent cx="12611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1">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Stephen B. Parsons</w:t>
      </w:r>
    </w:p>
    <w:p>
      <w:pPr>
        <w:spacing w:after="0" w:line="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75" w:lineRule="exact"/>
        <w:rPr>
          <w:sz w:val="20"/>
          <w:szCs w:val="20"/>
          <w:color w:val="auto"/>
        </w:rPr>
      </w:pPr>
    </w:p>
    <w:p>
      <w:pPr>
        <w:ind w:firstLine="4"/>
        <w:spacing w:after="0" w:line="253" w:lineRule="auto"/>
        <w:rPr>
          <w:sz w:val="20"/>
          <w:szCs w:val="20"/>
          <w:color w:val="auto"/>
        </w:rPr>
      </w:pPr>
      <w:r>
        <w:rPr>
          <w:rFonts w:ascii="Times New Roman" w:cs="Times New Roman" w:eastAsia="Times New Roman" w:hAnsi="Times New Roman"/>
          <w:sz w:val="22"/>
          <w:szCs w:val="22"/>
          <w:color w:val="2D2D2D"/>
        </w:rPr>
        <w:t xml:space="preserve">The undersigned, Bradford R. Turner, does hereby certify that he/she is the duly elected, qualified and acting Secretary of </w:t>
      </w:r>
      <w:r>
        <w:rPr>
          <w:rFonts w:ascii="Times New Roman" w:cs="Times New Roman" w:eastAsia="Times New Roman" w:hAnsi="Times New Roman"/>
          <w:sz w:val="22"/>
          <w:szCs w:val="22"/>
          <w:b w:val="1"/>
          <w:bCs w:val="1"/>
          <w:color w:val="2D2D2D"/>
        </w:rPr>
        <w:t>Newell</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b w:val="1"/>
          <w:bCs w:val="1"/>
          <w:color w:val="2D2D2D"/>
        </w:rPr>
        <w:t xml:space="preserve">Brands Inc. </w:t>
      </w:r>
      <w:r>
        <w:rPr>
          <w:rFonts w:ascii="Times New Roman" w:cs="Times New Roman" w:eastAsia="Times New Roman" w:hAnsi="Times New Roman"/>
          <w:sz w:val="22"/>
          <w:szCs w:val="22"/>
          <w:color w:val="2D2D2D"/>
        </w:rPr>
        <w:t>(the "Company") and further certifies that the person whose signature appears above is a duly elected, qualified and</w:t>
      </w:r>
      <w:r>
        <w:rPr>
          <w:rFonts w:ascii="Times New Roman" w:cs="Times New Roman" w:eastAsia="Times New Roman" w:hAnsi="Times New Roman"/>
          <w:sz w:val="22"/>
          <w:szCs w:val="22"/>
          <w:b w:val="1"/>
          <w:bCs w:val="1"/>
          <w:color w:val="2D2D2D"/>
        </w:rPr>
        <w:t xml:space="preserve"> </w:t>
      </w:r>
      <w:r>
        <w:rPr>
          <w:rFonts w:ascii="Times New Roman" w:cs="Times New Roman" w:eastAsia="Times New Roman" w:hAnsi="Times New Roman"/>
          <w:sz w:val="22"/>
          <w:szCs w:val="22"/>
          <w:color w:val="2D2D2D"/>
        </w:rPr>
        <w:t>acting officer of the Company with full power and authority to execute this Trust Agreement on behalf of the Company and to take such other actions and execute such other documents as may be necessary to effectuate this Agreement.</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2D2D2D"/>
        </w:rPr>
        <w:t>/s/ Bradford R. Turner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Secretary</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Newell Brands Inc.</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THE NORTHERN TRUST COMPANY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Nicolas Robles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Nicolas Robles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11/20/2023</w:t>
      </w:r>
    </w:p>
    <w:p>
      <w:pPr>
        <w:sectPr>
          <w:pgSz w:w="11900" w:h="16838" w:orient="portrait"/>
          <w:cols w:equalWidth="0" w:num="1">
            <w:col w:w="11200"/>
          </w:cols>
          <w:pgMar w:left="320" w:top="1440" w:right="37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78DC1"/>
        </w:rPr>
        <w:t>Securities Transaction Policy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32F2A"/>
        </w:rPr>
        <w:t>Policy Summary:</w:t>
      </w:r>
    </w:p>
    <w:p>
      <w:pPr>
        <w:spacing w:after="0" w:line="245" w:lineRule="exact"/>
        <w:rPr>
          <w:sz w:val="20"/>
          <w:szCs w:val="20"/>
          <w:color w:val="auto"/>
        </w:rPr>
      </w:pPr>
    </w:p>
    <w:p>
      <w:pPr>
        <w:jc w:val="both"/>
        <w:ind w:left="120" w:right="180" w:firstLine="648"/>
        <w:spacing w:after="0" w:line="252" w:lineRule="auto"/>
        <w:rPr>
          <w:sz w:val="20"/>
          <w:szCs w:val="20"/>
          <w:color w:val="auto"/>
        </w:rPr>
      </w:pPr>
      <w:r>
        <w:rPr>
          <w:rFonts w:ascii="Arial" w:cs="Arial" w:eastAsia="Arial" w:hAnsi="Arial"/>
          <w:sz w:val="20"/>
          <w:szCs w:val="20"/>
          <w:color w:val="auto"/>
        </w:rPr>
        <w:t>Newell Brands Inc., together with all of its direct and indirect subsidiaries (collectively, the “Company”) has instituted the following Securities Transaction Policy (the “Policy”), which applies to all of the Company’s directors, officers and employees (collectively, “Covered Persons”). However, as set forth herein, some provisions apply only to certain Covered Persons. The purpose of the Policy is to implement procedures designed to protect the Company and assist Covered Persons in complying with the requirements of the federal securities laws relating to transactions in the Company’s securities. The consequences of violating any of these requirements can be very serious to you and the Company, and can include civil and criminal penalties. Failure to comply with the Policy may also result in Company-imposed sanctions, including dismissal for cause, whether or not your failure to comply results in a violation of law. Your careful attention and adherence to the Policy is expected and appreciated.</w:t>
      </w:r>
    </w:p>
    <w:p>
      <w:pPr>
        <w:spacing w:after="0" w:line="203" w:lineRule="exact"/>
        <w:rPr>
          <w:sz w:val="20"/>
          <w:szCs w:val="20"/>
          <w:color w:val="auto"/>
        </w:rPr>
      </w:pPr>
    </w:p>
    <w:p>
      <w:pPr>
        <w:jc w:val="both"/>
        <w:ind w:left="120" w:right="180" w:firstLine="648"/>
        <w:spacing w:after="0" w:line="254" w:lineRule="auto"/>
        <w:rPr>
          <w:sz w:val="20"/>
          <w:szCs w:val="20"/>
          <w:color w:val="auto"/>
        </w:rPr>
      </w:pPr>
      <w:r>
        <w:rPr>
          <w:rFonts w:ascii="Arial" w:cs="Arial" w:eastAsia="Arial" w:hAnsi="Arial"/>
          <w:sz w:val="20"/>
          <w:szCs w:val="20"/>
          <w:color w:val="auto"/>
        </w:rPr>
        <w:t>Please refer all questions about this Policy to one of the Company’s Compliance Officers. The Company has designated the Company’s Chief Legal &amp; Administrative Officer, Bradford R. Turner, and the Company’s Deputy General Counsel, Brian J. Decker, as Compliance Officers, and has designated the Governance and Securities Paralegal as the Company’s Filing Coordinator. The Compliance Officers also will keep Covered Persons apprised of relevant current legal developments in the securities trading area. If any Covered Person becomes aware of an apparent violation of any provision of the Policy by any Covered Person, he/she must report the relevant facts to the Company’s Compliance Officer. In that event, as is the case with any consultation with an attorney employed by the Company, Company attorneys act exclusively for the Company and not as attorneys for any Covered Persons in his/her individual capacity.</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32F2A"/>
        </w:rPr>
        <w:t>Applicability:</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All of the Company’s directors, officers and employees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32F2A"/>
        </w:rPr>
        <w:t>Policy Specifics:</w:t>
      </w:r>
    </w:p>
    <w:p>
      <w:pPr>
        <w:spacing w:after="0" w:line="200" w:lineRule="exact"/>
        <w:rPr>
          <w:sz w:val="20"/>
          <w:szCs w:val="20"/>
          <w:color w:val="auto"/>
        </w:rPr>
      </w:pPr>
    </w:p>
    <w:p>
      <w:pPr>
        <w:spacing w:after="0" w:line="299" w:lineRule="exact"/>
        <w:rPr>
          <w:sz w:val="20"/>
          <w:szCs w:val="20"/>
          <w:color w:val="auto"/>
        </w:rPr>
      </w:pPr>
    </w:p>
    <w:p>
      <w:pPr>
        <w:ind w:left="760" w:hanging="645"/>
        <w:spacing w:after="0"/>
        <w:tabs>
          <w:tab w:leader="none" w:pos="7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INSIDER TRADING AND “TIPPING”</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General Rule</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Company Securities</w:t>
      </w:r>
    </w:p>
    <w:p>
      <w:pPr>
        <w:spacing w:after="0" w:line="256" w:lineRule="exact"/>
        <w:rPr>
          <w:sz w:val="20"/>
          <w:szCs w:val="20"/>
          <w:color w:val="auto"/>
        </w:rPr>
      </w:pPr>
    </w:p>
    <w:p>
      <w:pPr>
        <w:jc w:val="both"/>
        <w:ind w:left="660" w:right="180" w:firstLine="648"/>
        <w:spacing w:after="0" w:line="251" w:lineRule="auto"/>
        <w:rPr>
          <w:sz w:val="20"/>
          <w:szCs w:val="20"/>
          <w:color w:val="auto"/>
        </w:rPr>
      </w:pPr>
      <w:r>
        <w:rPr>
          <w:rFonts w:ascii="Arial" w:cs="Arial" w:eastAsia="Arial" w:hAnsi="Arial"/>
          <w:sz w:val="20"/>
          <w:szCs w:val="20"/>
          <w:color w:val="auto"/>
        </w:rPr>
        <w:t>As a general rule, Covered Persons who possess material non-public information about the Company, and persons who have received material non-public information from Covered Persons of the Company, are subject to the “abstain or disclose” rule - that is, they are required by the securities laws either (1) to refrain from both passing the Company information on to others (“tipping”) and from trading in or recommending the purchase or sale of Company securities or of options on (or any other derivatives relating to) those securities, or (2) to disclose such Company information to the investing public before trading in those securities. In virtually all cases, of course, it will be improper for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Page 1 of 10</w:t>
      </w:r>
    </w:p>
    <w:p>
      <w:pPr>
        <w:sectPr>
          <w:pgSz w:w="11900" w:h="16838" w:orient="portrait"/>
          <w:cols w:equalWidth="0" w:num="1">
            <w:col w:w="11240"/>
          </w:cols>
          <w:pgMar w:left="320" w:top="83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80"/>
        <w:spacing w:after="0" w:line="252" w:lineRule="auto"/>
        <w:rPr>
          <w:sz w:val="20"/>
          <w:szCs w:val="20"/>
          <w:color w:val="auto"/>
        </w:rPr>
      </w:pPr>
      <w:r>
        <w:rPr>
          <w:rFonts w:ascii="Arial" w:cs="Arial" w:eastAsia="Arial" w:hAnsi="Arial"/>
          <w:sz w:val="20"/>
          <w:szCs w:val="20"/>
          <w:color w:val="auto"/>
        </w:rPr>
        <w:t xml:space="preserve">Covered Person to disclose any non-public information without the express </w:t>
      </w:r>
      <w:r>
        <w:rPr>
          <w:rFonts w:ascii="Arial" w:cs="Arial" w:eastAsia="Arial" w:hAnsi="Arial"/>
          <w:sz w:val="20"/>
          <w:szCs w:val="20"/>
          <w:i w:val="1"/>
          <w:iCs w:val="1"/>
          <w:color w:val="auto"/>
        </w:rPr>
        <w:t>prior</w:t>
      </w:r>
      <w:r>
        <w:rPr>
          <w:rFonts w:ascii="Arial" w:cs="Arial" w:eastAsia="Arial" w:hAnsi="Arial"/>
          <w:sz w:val="20"/>
          <w:szCs w:val="20"/>
          <w:color w:val="auto"/>
        </w:rPr>
        <w:t xml:space="preserve"> permission of the original source of the information, such as senior Company management. Thus, </w:t>
      </w:r>
      <w:r>
        <w:rPr>
          <w:rFonts w:ascii="Arial" w:cs="Arial" w:eastAsia="Arial" w:hAnsi="Arial"/>
          <w:sz w:val="20"/>
          <w:szCs w:val="20"/>
          <w:i w:val="1"/>
          <w:iCs w:val="1"/>
          <w:color w:val="auto"/>
        </w:rPr>
        <w:t>invariably a Covered Person with material non-public</w:t>
      </w:r>
      <w:r>
        <w:rPr>
          <w:rFonts w:ascii="Arial" w:cs="Arial" w:eastAsia="Arial" w:hAnsi="Arial"/>
          <w:sz w:val="20"/>
          <w:szCs w:val="20"/>
          <w:color w:val="auto"/>
        </w:rPr>
        <w:t xml:space="preserve"> </w:t>
      </w:r>
      <w:r>
        <w:rPr>
          <w:rFonts w:ascii="Arial" w:cs="Arial" w:eastAsia="Arial" w:hAnsi="Arial"/>
          <w:sz w:val="20"/>
          <w:szCs w:val="20"/>
          <w:i w:val="1"/>
          <w:iCs w:val="1"/>
          <w:color w:val="auto"/>
        </w:rPr>
        <w:t>information cannot trade while in possession of that information or disclose the information to others who may trade</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Impermissible tipping includes advising another person or entity to trade in Company securities when the Covered Person himself/herself is prohibited from trading. More generally, it is unlawful for a Covered Person to deceive anyone when transacting in Company securities. To avoid inadvertent tipping, Covered Persons should refrain from commenting on or responding to questions about the Company while in possession of material non-public information. This includes participating in internet “chat rooms,” “message boards,” or other discussion groups.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of Other Companies</w:t>
      </w:r>
    </w:p>
    <w:p>
      <w:pPr>
        <w:spacing w:after="0" w:line="337" w:lineRule="exact"/>
        <w:rPr>
          <w:sz w:val="20"/>
          <w:szCs w:val="20"/>
          <w:color w:val="auto"/>
        </w:rPr>
      </w:pPr>
    </w:p>
    <w:p>
      <w:pPr>
        <w:jc w:val="both"/>
        <w:ind w:right="180" w:firstLine="648"/>
        <w:spacing w:after="0" w:line="252" w:lineRule="auto"/>
        <w:rPr>
          <w:sz w:val="20"/>
          <w:szCs w:val="20"/>
          <w:color w:val="auto"/>
        </w:rPr>
      </w:pPr>
      <w:r>
        <w:rPr>
          <w:rFonts w:ascii="Arial" w:cs="Arial" w:eastAsia="Arial" w:hAnsi="Arial"/>
          <w:sz w:val="20"/>
          <w:szCs w:val="20"/>
          <w:color w:val="auto"/>
        </w:rPr>
        <w:t xml:space="preserve">It is also generally impermissible to “tip” or disclose material non-public information or trade in securities of </w:t>
      </w:r>
      <w:r>
        <w:rPr>
          <w:rFonts w:ascii="Arial" w:cs="Arial" w:eastAsia="Arial" w:hAnsi="Arial"/>
          <w:sz w:val="20"/>
          <w:szCs w:val="20"/>
          <w:i w:val="1"/>
          <w:iCs w:val="1"/>
          <w:color w:val="auto"/>
        </w:rPr>
        <w:t xml:space="preserve">any </w:t>
      </w:r>
      <w:r>
        <w:rPr>
          <w:rFonts w:ascii="Arial" w:cs="Arial" w:eastAsia="Arial" w:hAnsi="Arial"/>
          <w:sz w:val="20"/>
          <w:szCs w:val="20"/>
          <w:color w:val="auto"/>
        </w:rPr>
        <w:t>company when the information was initially disclosed, or would be used, in breach of a duty to maintain the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in confidence. For example, such would be the case when someone obtains from a vendor or customer non-public information that is material to the value of a security issued by another entity. This also applies to information about another company that is obtained in confidence from the Company itself. Accordingly, a Covered Person must resolve any uncertainty in favor of treating information as confidential where the information is material and non-public and the original source of the information has not given express permission to use the information to engage in a securities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Duration of the Prohibition on Insider Trading</w:t>
      </w:r>
    </w:p>
    <w:p>
      <w:pPr>
        <w:spacing w:after="0" w:line="337"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20"/>
          <w:szCs w:val="20"/>
          <w:color w:val="auto"/>
        </w:rPr>
        <w:t>The prohibitions in the prior two paragraphs remain in effect until the information has been substantially disclosed to the public or is no longer material. Thus, a Covered Person who is aware of material non-public information regarding the Company cannot trade in Company securities until that specific information has become public or is no longer material. Of course, if by that time the Covered Person has learned of additional material non-public information about the Company, the awareness of such subsequent information would independently preclude trading.</w:t>
      </w:r>
    </w:p>
    <w:p>
      <w:pPr>
        <w:spacing w:after="0" w:line="214"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20"/>
          <w:szCs w:val="20"/>
          <w:color w:val="auto"/>
        </w:rPr>
        <w:t>Violation of laws prohibiting insider trading can result in civil liability to third persons, civil penalties obtained by the government, fines and imprisonment.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Prohibitions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Covered Persons may not:</w:t>
      </w:r>
    </w:p>
    <w:p>
      <w:pPr>
        <w:spacing w:after="0" w:line="256" w:lineRule="exact"/>
        <w:rPr>
          <w:sz w:val="20"/>
          <w:szCs w:val="20"/>
          <w:color w:val="auto"/>
        </w:rPr>
      </w:pPr>
    </w:p>
    <w:p>
      <w:pPr>
        <w:ind w:left="320" w:hanging="316"/>
        <w:spacing w:after="0"/>
        <w:tabs>
          <w:tab w:leader="none" w:pos="32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pledge Company securities, including purchase Company securities on margin;</w:t>
      </w:r>
    </w:p>
    <w:p>
      <w:pPr>
        <w:spacing w:after="0" w:line="214" w:lineRule="exact"/>
        <w:rPr>
          <w:rFonts w:ascii="Times New Roman" w:cs="Times New Roman" w:eastAsia="Times New Roman" w:hAnsi="Times New Roman"/>
          <w:sz w:val="20"/>
          <w:szCs w:val="20"/>
          <w:color w:val="auto"/>
        </w:rPr>
      </w:pPr>
    </w:p>
    <w:p>
      <w:pPr>
        <w:ind w:left="320" w:hanging="316"/>
        <w:spacing w:after="0"/>
        <w:tabs>
          <w:tab w:leader="none" w:pos="32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hedge any position they may have in Company securities; or</w:t>
      </w:r>
    </w:p>
    <w:p>
      <w:pPr>
        <w:spacing w:after="0" w:line="228" w:lineRule="exact"/>
        <w:rPr>
          <w:rFonts w:ascii="Times New Roman" w:cs="Times New Roman" w:eastAsia="Times New Roman" w:hAnsi="Times New Roman"/>
          <w:sz w:val="20"/>
          <w:szCs w:val="20"/>
          <w:color w:val="auto"/>
        </w:rPr>
      </w:pPr>
    </w:p>
    <w:p>
      <w:pPr>
        <w:ind w:left="320" w:hanging="316"/>
        <w:spacing w:after="0"/>
        <w:tabs>
          <w:tab w:leader="none" w:pos="32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short sell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Page 2 of 10</w:t>
      </w:r>
    </w:p>
    <w:p>
      <w:pPr>
        <w:sectPr>
          <w:pgSz w:w="11900" w:h="16838" w:orient="portrait"/>
          <w:cols w:equalWidth="0" w:num="1">
            <w:col w:w="10480"/>
          </w:cols>
          <w:pgMar w:left="1080" w:top="83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19.1</w:t>
      </w:r>
    </w:p>
    <w:p>
      <w:pPr>
        <w:spacing w:after="0" w:line="351"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Materiality</w:t>
      </w:r>
    </w:p>
    <w:p>
      <w:pPr>
        <w:spacing w:after="0" w:line="258" w:lineRule="exact"/>
        <w:rPr>
          <w:sz w:val="20"/>
          <w:szCs w:val="20"/>
          <w:color w:val="auto"/>
        </w:rPr>
      </w:pPr>
    </w:p>
    <w:p>
      <w:pPr>
        <w:jc w:val="both"/>
        <w:ind w:left="69" w:right="180" w:firstLine="648"/>
        <w:spacing w:after="0" w:line="262" w:lineRule="auto"/>
        <w:rPr>
          <w:sz w:val="20"/>
          <w:szCs w:val="20"/>
          <w:color w:val="auto"/>
        </w:rPr>
      </w:pPr>
      <w:r>
        <w:rPr>
          <w:rFonts w:ascii="Arial" w:cs="Arial" w:eastAsia="Arial" w:hAnsi="Arial"/>
          <w:sz w:val="20"/>
          <w:szCs w:val="20"/>
          <w:color w:val="auto"/>
        </w:rPr>
        <w:t>Generally, a fact is considered material if there is a substantial likelihood that a reasonable investor would consider it important in making an investment decision. Examples of types of information that may be material, depending on the facts of the particular situation, include, but are not limited to, the following:</w:t>
      </w:r>
    </w:p>
    <w:p>
      <w:pPr>
        <w:spacing w:after="0" w:line="205" w:lineRule="exact"/>
        <w:rPr>
          <w:sz w:val="20"/>
          <w:szCs w:val="20"/>
          <w:color w:val="auto"/>
        </w:rPr>
      </w:pPr>
    </w:p>
    <w:p>
      <w:pPr>
        <w:ind w:left="449" w:hanging="395"/>
        <w:spacing w:after="0"/>
        <w:tabs>
          <w:tab w:leader="none" w:pos="4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proposal or agreement for a merger, acquisition or divestiture, or for the sale or purchase of significant assets.</w:t>
      </w:r>
    </w:p>
    <w:p>
      <w:pPr>
        <w:spacing w:after="0" w:line="269" w:lineRule="exact"/>
        <w:rPr>
          <w:rFonts w:ascii="Arial" w:cs="Arial" w:eastAsia="Arial" w:hAnsi="Arial"/>
          <w:sz w:val="20"/>
          <w:szCs w:val="20"/>
          <w:color w:val="auto"/>
        </w:rPr>
      </w:pPr>
    </w:p>
    <w:p>
      <w:pPr>
        <w:ind w:left="449" w:hanging="395"/>
        <w:spacing w:after="0"/>
        <w:tabs>
          <w:tab w:leader="none" w:pos="4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Significant information or estimates about revenues, earnings or other financial metrics.</w:t>
      </w:r>
    </w:p>
    <w:p>
      <w:pPr>
        <w:spacing w:after="0" w:line="256" w:lineRule="exact"/>
        <w:rPr>
          <w:rFonts w:ascii="Arial" w:cs="Arial" w:eastAsia="Arial" w:hAnsi="Arial"/>
          <w:sz w:val="20"/>
          <w:szCs w:val="20"/>
          <w:color w:val="auto"/>
        </w:rPr>
      </w:pPr>
    </w:p>
    <w:p>
      <w:pPr>
        <w:ind w:left="449" w:hanging="395"/>
        <w:spacing w:after="0"/>
        <w:tabs>
          <w:tab w:leader="none" w:pos="4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proposal or agreement concerning a financial restructuring or an extraordinary borrowing.</w:t>
      </w:r>
    </w:p>
    <w:p>
      <w:pPr>
        <w:spacing w:after="0" w:line="256" w:lineRule="exact"/>
        <w:rPr>
          <w:rFonts w:ascii="Arial" w:cs="Arial" w:eastAsia="Arial" w:hAnsi="Arial"/>
          <w:sz w:val="20"/>
          <w:szCs w:val="20"/>
          <w:color w:val="auto"/>
        </w:rPr>
      </w:pPr>
    </w:p>
    <w:p>
      <w:pPr>
        <w:ind w:left="469" w:right="180" w:hanging="415"/>
        <w:spacing w:after="0" w:line="286" w:lineRule="auto"/>
        <w:tabs>
          <w:tab w:leader="none" w:pos="456"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proposal to issue or redeem securities or a development with respect to a pending issuance or redemption of securities.</w:t>
      </w:r>
    </w:p>
    <w:p>
      <w:pPr>
        <w:spacing w:after="0" w:line="167" w:lineRule="exact"/>
        <w:rPr>
          <w:rFonts w:ascii="Arial" w:cs="Arial" w:eastAsia="Arial" w:hAnsi="Arial"/>
          <w:sz w:val="20"/>
          <w:szCs w:val="20"/>
          <w:color w:val="auto"/>
        </w:rPr>
      </w:pPr>
    </w:p>
    <w:p>
      <w:pPr>
        <w:ind w:left="449" w:hanging="395"/>
        <w:spacing w:after="0"/>
        <w:tabs>
          <w:tab w:leader="none" w:pos="4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proposal or action regarding the Company’s dividend policy, including a stock dividend or stock split.</w:t>
      </w:r>
    </w:p>
    <w:p>
      <w:pPr>
        <w:spacing w:after="0" w:line="269" w:lineRule="exact"/>
        <w:rPr>
          <w:rFonts w:ascii="Arial" w:cs="Arial" w:eastAsia="Arial" w:hAnsi="Arial"/>
          <w:sz w:val="20"/>
          <w:szCs w:val="20"/>
          <w:color w:val="auto"/>
        </w:rPr>
      </w:pPr>
    </w:p>
    <w:p>
      <w:pPr>
        <w:ind w:left="449" w:hanging="394"/>
        <w:spacing w:after="0"/>
        <w:tabs>
          <w:tab w:leader="none" w:pos="4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significant expansion or contraction of operations, including planned layoffs.</w:t>
      </w:r>
    </w:p>
    <w:p>
      <w:pPr>
        <w:spacing w:after="0" w:line="242" w:lineRule="exact"/>
        <w:rPr>
          <w:rFonts w:ascii="Arial" w:cs="Arial" w:eastAsia="Arial" w:hAnsi="Arial"/>
          <w:sz w:val="20"/>
          <w:szCs w:val="20"/>
          <w:color w:val="auto"/>
        </w:rPr>
      </w:pPr>
    </w:p>
    <w:p>
      <w:pPr>
        <w:ind w:left="449" w:hanging="395"/>
        <w:spacing w:after="0"/>
        <w:tabs>
          <w:tab w:leader="none" w:pos="4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Significant increases or decreases in orders or information about major contracts (execution, termination, etc.).</w:t>
      </w:r>
    </w:p>
    <w:p>
      <w:pPr>
        <w:spacing w:after="0" w:line="269" w:lineRule="exact"/>
        <w:rPr>
          <w:rFonts w:ascii="Arial" w:cs="Arial" w:eastAsia="Arial" w:hAnsi="Arial"/>
          <w:sz w:val="20"/>
          <w:szCs w:val="20"/>
          <w:color w:val="auto"/>
        </w:rPr>
      </w:pPr>
    </w:p>
    <w:p>
      <w:pPr>
        <w:ind w:left="469" w:right="100" w:hanging="415"/>
        <w:spacing w:after="0" w:line="271" w:lineRule="auto"/>
        <w:tabs>
          <w:tab w:leader="none" w:pos="456" w:val="left"/>
        </w:tabs>
        <w:numPr>
          <w:ilvl w:val="0"/>
          <w:numId w:val="58"/>
        </w:numPr>
        <w:rPr>
          <w:rFonts w:ascii="Arial" w:cs="Arial" w:eastAsia="Arial" w:hAnsi="Arial"/>
          <w:sz w:val="20"/>
          <w:szCs w:val="20"/>
          <w:color w:val="auto"/>
        </w:rPr>
      </w:pPr>
      <w:r>
        <w:rPr>
          <w:rFonts w:ascii="Arial" w:cs="Arial" w:eastAsia="Arial" w:hAnsi="Arial"/>
          <w:sz w:val="20"/>
          <w:szCs w:val="20"/>
          <w:color w:val="auto"/>
        </w:rPr>
        <w:t>Liquidity problems, payment or covenant defaults or actions by creditors or suppliers relating to the Company’s credit standing.</w:t>
      </w:r>
    </w:p>
    <w:p>
      <w:pPr>
        <w:spacing w:after="0" w:line="196" w:lineRule="exact"/>
        <w:rPr>
          <w:rFonts w:ascii="Arial" w:cs="Arial" w:eastAsia="Arial" w:hAnsi="Arial"/>
          <w:sz w:val="20"/>
          <w:szCs w:val="20"/>
          <w:color w:val="auto"/>
        </w:rPr>
      </w:pPr>
    </w:p>
    <w:p>
      <w:pPr>
        <w:ind w:left="449" w:hanging="394"/>
        <w:spacing w:after="0"/>
        <w:tabs>
          <w:tab w:leader="none" w:pos="4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Significant management developments.</w:t>
      </w:r>
    </w:p>
    <w:p>
      <w:pPr>
        <w:spacing w:after="0" w:line="256" w:lineRule="exact"/>
        <w:rPr>
          <w:sz w:val="20"/>
          <w:szCs w:val="20"/>
          <w:color w:val="auto"/>
        </w:rPr>
      </w:pPr>
    </w:p>
    <w:p>
      <w:pPr>
        <w:ind w:left="449" w:hanging="449"/>
        <w:spacing w:after="0"/>
        <w:tabs>
          <w:tab w:leader="none" w:pos="449" w:val="left"/>
        </w:tabs>
        <w:numPr>
          <w:ilvl w:val="0"/>
          <w:numId w:val="59"/>
        </w:numPr>
        <w:rPr>
          <w:rFonts w:ascii="Arial" w:cs="Arial" w:eastAsia="Arial" w:hAnsi="Arial"/>
          <w:sz w:val="20"/>
          <w:szCs w:val="20"/>
          <w:color w:val="auto"/>
        </w:rPr>
      </w:pPr>
      <w:r>
        <w:rPr>
          <w:rFonts w:ascii="Arial" w:cs="Arial" w:eastAsia="Arial" w:hAnsi="Arial"/>
          <w:sz w:val="20"/>
          <w:szCs w:val="20"/>
          <w:color w:val="auto"/>
        </w:rPr>
        <w:t>Major legal proceedings; and</w:t>
      </w:r>
    </w:p>
    <w:p>
      <w:pPr>
        <w:spacing w:after="0" w:line="256" w:lineRule="exact"/>
        <w:rPr>
          <w:rFonts w:ascii="Arial" w:cs="Arial" w:eastAsia="Arial" w:hAnsi="Arial"/>
          <w:sz w:val="20"/>
          <w:szCs w:val="20"/>
          <w:color w:val="auto"/>
        </w:rPr>
      </w:pPr>
    </w:p>
    <w:p>
      <w:pPr>
        <w:ind w:left="429" w:hanging="429"/>
        <w:spacing w:after="0"/>
        <w:tabs>
          <w:tab w:leader="none" w:pos="429"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significant data breach or cybersecurity incident</w:t>
      </w:r>
    </w:p>
    <w:p>
      <w:pPr>
        <w:spacing w:after="0" w:line="256" w:lineRule="exact"/>
        <w:rPr>
          <w:sz w:val="20"/>
          <w:szCs w:val="20"/>
          <w:color w:val="auto"/>
        </w:rPr>
      </w:pPr>
    </w:p>
    <w:p>
      <w:pPr>
        <w:jc w:val="both"/>
        <w:ind w:left="69" w:right="180" w:firstLine="648"/>
        <w:spacing w:after="0" w:line="269" w:lineRule="auto"/>
        <w:rPr>
          <w:sz w:val="20"/>
          <w:szCs w:val="20"/>
          <w:color w:val="auto"/>
        </w:rPr>
      </w:pPr>
      <w:r>
        <w:rPr>
          <w:rFonts w:ascii="Arial" w:cs="Arial" w:eastAsia="Arial" w:hAnsi="Arial"/>
          <w:sz w:val="20"/>
          <w:szCs w:val="20"/>
          <w:color w:val="auto"/>
        </w:rPr>
        <w:t>Any given item of information must be evaluated in light of all the relevant circumstances in order to make a determination as to materiality. Should you have any questions as to whether non-public information is material, you should consult with the Company’s Compliance Officer or his delegate.</w:t>
      </w:r>
    </w:p>
    <w:p>
      <w:pPr>
        <w:spacing w:after="0" w:line="197" w:lineRule="exact"/>
        <w:rPr>
          <w:sz w:val="20"/>
          <w:szCs w:val="20"/>
          <w:color w:val="auto"/>
        </w:rPr>
      </w:pPr>
    </w:p>
    <w:p>
      <w:pPr>
        <w:ind w:left="69"/>
        <w:spacing w:after="0"/>
        <w:rPr>
          <w:sz w:val="20"/>
          <w:szCs w:val="20"/>
          <w:color w:val="auto"/>
        </w:rPr>
      </w:pPr>
      <w:r>
        <w:rPr>
          <w:rFonts w:ascii="Arial" w:cs="Arial" w:eastAsia="Arial" w:hAnsi="Arial"/>
          <w:sz w:val="20"/>
          <w:szCs w:val="20"/>
          <w:b w:val="1"/>
          <w:bCs w:val="1"/>
          <w:color w:val="auto"/>
        </w:rPr>
        <w:t>Nonpublic Information</w:t>
      </w:r>
    </w:p>
    <w:p>
      <w:pPr>
        <w:spacing w:after="0" w:line="258" w:lineRule="exact"/>
        <w:rPr>
          <w:sz w:val="20"/>
          <w:szCs w:val="20"/>
          <w:color w:val="auto"/>
        </w:rPr>
      </w:pPr>
    </w:p>
    <w:p>
      <w:pPr>
        <w:jc w:val="both"/>
        <w:ind w:left="69" w:right="180" w:firstLine="648"/>
        <w:spacing w:after="0" w:line="254" w:lineRule="auto"/>
        <w:rPr>
          <w:sz w:val="20"/>
          <w:szCs w:val="20"/>
          <w:color w:val="auto"/>
        </w:rPr>
      </w:pPr>
      <w:r>
        <w:rPr>
          <w:rFonts w:ascii="Arial" w:cs="Arial" w:eastAsia="Arial" w:hAnsi="Arial"/>
          <w:sz w:val="20"/>
          <w:szCs w:val="20"/>
          <w:color w:val="auto"/>
        </w:rPr>
        <w:t xml:space="preserve">Nonpublic information is information that is not generally available to ordinary investors in the marketplace or in general circulation. In order to conclude that information is public, one must be able to point to some fact to show that the information is generally available, for example, its announcement in a press release, a filing with the Securities and Exchange Commission (“SEC”), or publication in a major news or other publication of general circulation, such as </w:t>
      </w:r>
      <w:r>
        <w:rPr>
          <w:rFonts w:ascii="Arial" w:cs="Arial" w:eastAsia="Arial" w:hAnsi="Arial"/>
          <w:sz w:val="20"/>
          <w:szCs w:val="20"/>
          <w:i w:val="1"/>
          <w:iCs w:val="1"/>
          <w:color w:val="auto"/>
        </w:rPr>
        <w:t>The Wall Street Journal</w:t>
      </w:r>
      <w:r>
        <w:rPr>
          <w:rFonts w:ascii="Arial" w:cs="Arial" w:eastAsia="Arial" w:hAnsi="Arial"/>
          <w:sz w:val="20"/>
          <w:szCs w:val="20"/>
          <w:color w:val="auto"/>
        </w:rPr>
        <w:t>. The appearance of information solely on a company’s Web site or social media account may not be sufficient to conclude that it has become “public” for these purposes.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449"/>
        <w:spacing w:after="0"/>
        <w:rPr>
          <w:sz w:val="20"/>
          <w:szCs w:val="20"/>
          <w:color w:val="auto"/>
        </w:rPr>
      </w:pPr>
      <w:r>
        <w:rPr>
          <w:rFonts w:ascii="Arial" w:cs="Arial" w:eastAsia="Arial" w:hAnsi="Arial"/>
          <w:sz w:val="14"/>
          <w:szCs w:val="14"/>
          <w:color w:val="auto"/>
        </w:rPr>
        <w:t>Page 3 of 10</w:t>
      </w:r>
    </w:p>
    <w:p>
      <w:pPr>
        <w:sectPr>
          <w:pgSz w:w="11900" w:h="16838" w:orient="portrait"/>
          <w:cols w:equalWidth="0" w:num="1">
            <w:col w:w="10549"/>
          </w:cols>
          <w:pgMar w:left="1011" w:top="83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19.1</w:t>
      </w:r>
    </w:p>
    <w:p>
      <w:pPr>
        <w:spacing w:after="0" w:line="200" w:lineRule="exact"/>
        <w:rPr>
          <w:sz w:val="20"/>
          <w:szCs w:val="20"/>
          <w:color w:val="auto"/>
        </w:rPr>
      </w:pPr>
    </w:p>
    <w:p>
      <w:pPr>
        <w:spacing w:after="0" w:line="259" w:lineRule="exact"/>
        <w:rPr>
          <w:sz w:val="20"/>
          <w:szCs w:val="20"/>
          <w:color w:val="auto"/>
        </w:rPr>
      </w:pPr>
    </w:p>
    <w:p>
      <w:pPr>
        <w:ind w:left="644" w:right="5280" w:hanging="644"/>
        <w:spacing w:after="0" w:line="508" w:lineRule="auto"/>
        <w:tabs>
          <w:tab w:leader="none" w:pos="639"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SECURITIES TRANSACTIONS BY COVERED PERSONS General Policy and Rules</w:t>
      </w:r>
    </w:p>
    <w:p>
      <w:pPr>
        <w:jc w:val="both"/>
        <w:ind w:left="644" w:right="180" w:firstLine="648"/>
        <w:spacing w:after="0" w:line="252" w:lineRule="auto"/>
        <w:rPr>
          <w:sz w:val="20"/>
          <w:szCs w:val="20"/>
          <w:color w:val="auto"/>
        </w:rPr>
      </w:pPr>
      <w:r>
        <w:rPr>
          <w:rFonts w:ascii="Arial" w:cs="Arial" w:eastAsia="Arial" w:hAnsi="Arial"/>
          <w:sz w:val="20"/>
          <w:szCs w:val="20"/>
          <w:color w:val="auto"/>
        </w:rPr>
        <w:t xml:space="preserve">All transactions in Covered Person Accounts are covered at all times by the prohibitions described in Part A of this Policy. For the purposes of this Policy, a “Covered Person Account” includes (1) the Covered Person’s own account, (2) accounts of the Covered Person’s spouse, domestic partner, any minor children and any other relatives (including by marriage) living in the Covered Person’s home, (3) any account in which any person listed in (1) or (2) has a beneficial interest, such as an IRA, and (4) any account over which any person listed in (1) or (2) exercises control or investment influence. Limitations on the scope of the meaning of “Covered Person Account” in the circumstances of a particular Covered Person may be made </w:t>
      </w:r>
      <w:r>
        <w:rPr>
          <w:rFonts w:ascii="Arial" w:cs="Arial" w:eastAsia="Arial" w:hAnsi="Arial"/>
          <w:sz w:val="20"/>
          <w:szCs w:val="20"/>
          <w:i w:val="1"/>
          <w:iCs w:val="1"/>
          <w:color w:val="auto"/>
        </w:rPr>
        <w:t>in writing</w:t>
      </w:r>
      <w:r>
        <w:rPr>
          <w:rFonts w:ascii="Arial" w:cs="Arial" w:eastAsia="Arial" w:hAnsi="Arial"/>
          <w:sz w:val="20"/>
          <w:szCs w:val="20"/>
          <w:color w:val="auto"/>
        </w:rPr>
        <w:t xml:space="preserve"> by the Compliance Officer upon the written request of a Covered Person. Additional limitations on trading activities by directors and certain officers of the Company are described in Part F of this Policy.</w:t>
      </w:r>
    </w:p>
    <w:p>
      <w:pPr>
        <w:spacing w:after="0" w:line="216" w:lineRule="exact"/>
        <w:rPr>
          <w:sz w:val="20"/>
          <w:szCs w:val="20"/>
          <w:color w:val="auto"/>
        </w:rPr>
      </w:pPr>
    </w:p>
    <w:p>
      <w:pPr>
        <w:jc w:val="both"/>
        <w:ind w:left="644" w:right="180" w:firstLine="648"/>
        <w:spacing w:after="0" w:line="254" w:lineRule="auto"/>
        <w:rPr>
          <w:sz w:val="20"/>
          <w:szCs w:val="20"/>
          <w:color w:val="auto"/>
        </w:rPr>
      </w:pPr>
      <w:r>
        <w:rPr>
          <w:rFonts w:ascii="Arial" w:cs="Arial" w:eastAsia="Arial" w:hAnsi="Arial"/>
          <w:sz w:val="20"/>
          <w:szCs w:val="20"/>
          <w:color w:val="auto"/>
        </w:rPr>
        <w:t>The Company discourages all Covered Persons from engaging in short–term speculative trading in Company securities. As set forth under Part D of this Policy, certain Covered Persons are prohibited from purchasing or selling exchange-traded options on the Company’s securities. All Covered Persons are prohibited from engaging in excessive trading and trading that interferes with an employee’s job responsibilities. Covered Persons are expressly prohibited from engaging in frequent in and out trading in the securities of the Company in their Covered Person Accounts, including any account in the Newell Stock Fund under the Company’s 401(k) Plan.</w:t>
      </w:r>
    </w:p>
    <w:p>
      <w:pPr>
        <w:spacing w:after="0" w:line="200" w:lineRule="exact"/>
        <w:rPr>
          <w:sz w:val="20"/>
          <w:szCs w:val="20"/>
          <w:color w:val="auto"/>
        </w:rPr>
      </w:pPr>
    </w:p>
    <w:p>
      <w:pPr>
        <w:spacing w:after="0" w:line="255" w:lineRule="exact"/>
        <w:rPr>
          <w:sz w:val="20"/>
          <w:szCs w:val="20"/>
          <w:color w:val="auto"/>
        </w:rPr>
      </w:pPr>
    </w:p>
    <w:p>
      <w:pPr>
        <w:ind w:left="644"/>
        <w:spacing w:after="0"/>
        <w:rPr>
          <w:sz w:val="20"/>
          <w:szCs w:val="20"/>
          <w:color w:val="auto"/>
        </w:rPr>
      </w:pPr>
      <w:r>
        <w:rPr>
          <w:rFonts w:ascii="Arial" w:cs="Arial" w:eastAsia="Arial" w:hAnsi="Arial"/>
          <w:sz w:val="20"/>
          <w:szCs w:val="20"/>
          <w:b w:val="1"/>
          <w:bCs w:val="1"/>
          <w:color w:val="auto"/>
        </w:rPr>
        <w:t>Blackout Policy for Certain Covered Persons</w:t>
      </w:r>
    </w:p>
    <w:p>
      <w:pPr>
        <w:spacing w:after="0" w:line="258" w:lineRule="exact"/>
        <w:rPr>
          <w:sz w:val="20"/>
          <w:szCs w:val="20"/>
          <w:color w:val="auto"/>
        </w:rPr>
      </w:pPr>
    </w:p>
    <w:p>
      <w:pPr>
        <w:jc w:val="both"/>
        <w:ind w:left="644" w:right="180" w:firstLine="648"/>
        <w:spacing w:after="0" w:line="254" w:lineRule="auto"/>
        <w:rPr>
          <w:sz w:val="20"/>
          <w:szCs w:val="20"/>
          <w:color w:val="auto"/>
        </w:rPr>
      </w:pPr>
      <w:r>
        <w:rPr>
          <w:rFonts w:ascii="Arial" w:cs="Arial" w:eastAsia="Arial" w:hAnsi="Arial"/>
          <w:sz w:val="20"/>
          <w:szCs w:val="20"/>
          <w:color w:val="auto"/>
        </w:rPr>
        <w:t xml:space="preserve">This Policy prohibits trading in Company securities by members of the Newell Brands Inc. Board of Directors and certain Company employees, typically beginning on the fifteenth calendar day of the third month of each calendar quarter. This prohibition ends on the later of (i) the opening of trading on the first business day after the release of the Company’s earnings for the quarter; or (ii) 24 hours after such release. The Compliance Officer shall notify all Covered Persons when the prohibition on trading commences and ends. The Compliance Officer shall also have the discretion to extend a quarterly Blackout Period or institute a new Blackout Period. </w:t>
      </w:r>
      <w:r>
        <w:rPr>
          <w:rFonts w:ascii="Arial" w:cs="Arial" w:eastAsia="Arial" w:hAnsi="Arial"/>
          <w:sz w:val="20"/>
          <w:szCs w:val="20"/>
          <w:i w:val="1"/>
          <w:iCs w:val="1"/>
          <w:color w:val="auto"/>
        </w:rPr>
        <w:t>After the Blackout Period ends, all</w:t>
      </w:r>
      <w:r>
        <w:rPr>
          <w:rFonts w:ascii="Arial" w:cs="Arial" w:eastAsia="Arial" w:hAnsi="Arial"/>
          <w:sz w:val="20"/>
          <w:szCs w:val="20"/>
          <w:color w:val="auto"/>
        </w:rPr>
        <w:t xml:space="preserve"> </w:t>
      </w:r>
      <w:r>
        <w:rPr>
          <w:rFonts w:ascii="Arial" w:cs="Arial" w:eastAsia="Arial" w:hAnsi="Arial"/>
          <w:sz w:val="20"/>
          <w:szCs w:val="20"/>
          <w:i w:val="1"/>
          <w:iCs w:val="1"/>
          <w:color w:val="auto"/>
        </w:rPr>
        <w:t>Covered Persons remain subject to the “General Rules” set forth in Part A of this Policy.</w:t>
      </w:r>
    </w:p>
    <w:p>
      <w:pPr>
        <w:spacing w:after="0" w:line="213"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Who is covered by the Blackout Policy?</w:t>
      </w:r>
    </w:p>
    <w:p>
      <w:pPr>
        <w:spacing w:after="0" w:line="256" w:lineRule="exact"/>
        <w:rPr>
          <w:sz w:val="20"/>
          <w:szCs w:val="20"/>
          <w:color w:val="auto"/>
        </w:rPr>
      </w:pPr>
    </w:p>
    <w:p>
      <w:pPr>
        <w:ind w:left="964" w:hanging="316"/>
        <w:spacing w:after="0"/>
        <w:tabs>
          <w:tab w:leader="none" w:pos="964"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Members of the Board of Directors and Section 16 Officers of Newell Brands Inc.;</w:t>
      </w:r>
    </w:p>
    <w:p>
      <w:pPr>
        <w:spacing w:after="0" w:line="228" w:lineRule="exact"/>
        <w:rPr>
          <w:rFonts w:ascii="Times New Roman" w:cs="Times New Roman" w:eastAsia="Times New Roman" w:hAnsi="Times New Roman"/>
          <w:sz w:val="20"/>
          <w:szCs w:val="20"/>
          <w:color w:val="auto"/>
        </w:rPr>
      </w:pPr>
    </w:p>
    <w:p>
      <w:pPr>
        <w:ind w:left="964" w:right="340" w:hanging="317"/>
        <w:spacing w:after="0" w:line="285" w:lineRule="auto"/>
        <w:tabs>
          <w:tab w:leader="none" w:pos="952"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Executive Leadership Team members or members of any functionally similar committee established by the Chief Executive Officer of Newell Brands Inc.;</w:t>
      </w:r>
    </w:p>
    <w:p>
      <w:pPr>
        <w:spacing w:after="0" w:line="181" w:lineRule="exact"/>
        <w:rPr>
          <w:rFonts w:ascii="Times New Roman" w:cs="Times New Roman" w:eastAsia="Times New Roman" w:hAnsi="Times New Roman"/>
          <w:sz w:val="20"/>
          <w:szCs w:val="20"/>
          <w:color w:val="auto"/>
        </w:rPr>
      </w:pPr>
    </w:p>
    <w:p>
      <w:pPr>
        <w:ind w:left="964" w:hanging="316"/>
        <w:spacing w:after="0"/>
        <w:tabs>
          <w:tab w:leader="none" w:pos="964"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All Company employees with the title or job grade of Vice President or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24"/>
        <w:spacing w:after="0"/>
        <w:rPr>
          <w:sz w:val="20"/>
          <w:szCs w:val="20"/>
          <w:color w:val="auto"/>
        </w:rPr>
      </w:pPr>
      <w:r>
        <w:rPr>
          <w:rFonts w:ascii="Arial" w:cs="Arial" w:eastAsia="Arial" w:hAnsi="Arial"/>
          <w:sz w:val="14"/>
          <w:szCs w:val="14"/>
          <w:color w:val="auto"/>
        </w:rPr>
        <w:t>Page 4 of 10</w:t>
      </w:r>
    </w:p>
    <w:p>
      <w:pPr>
        <w:sectPr>
          <w:pgSz w:w="11900" w:h="16838" w:orient="portrait"/>
          <w:cols w:equalWidth="0" w:num="1">
            <w:col w:w="11124"/>
          </w:cols>
          <w:pgMar w:left="436" w:top="83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19.1</w:t>
      </w:r>
    </w:p>
    <w:p>
      <w:pPr>
        <w:spacing w:after="0" w:line="353" w:lineRule="exact"/>
        <w:rPr>
          <w:sz w:val="20"/>
          <w:szCs w:val="20"/>
          <w:color w:val="auto"/>
        </w:rPr>
      </w:pPr>
    </w:p>
    <w:p>
      <w:pPr>
        <w:jc w:val="both"/>
        <w:ind w:left="320" w:right="180" w:hanging="317"/>
        <w:spacing w:after="0" w:line="262" w:lineRule="auto"/>
        <w:tabs>
          <w:tab w:leader="none" w:pos="308" w:val="left"/>
        </w:tabs>
        <w:numPr>
          <w:ilvl w:val="0"/>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All employees in Corporate Accounting, Corporate Internal Audit, Corporate Business Planning &amp; Analysis, Investor Relations, Corporate Communications, Master Data &amp; Information Delivery, Strategy &amp; Analytics, Strategic Initiatives, Tax, and Treasury;</w:t>
      </w:r>
    </w:p>
    <w:p>
      <w:pPr>
        <w:spacing w:after="0" w:line="204" w:lineRule="exact"/>
        <w:rPr>
          <w:rFonts w:ascii="Times New Roman" w:cs="Times New Roman" w:eastAsia="Times New Roman" w:hAnsi="Times New Roman"/>
          <w:sz w:val="20"/>
          <w:szCs w:val="20"/>
          <w:color w:val="auto"/>
        </w:rPr>
      </w:pPr>
    </w:p>
    <w:p>
      <w:pPr>
        <w:ind w:left="320" w:right="180" w:hanging="317"/>
        <w:spacing w:after="0" w:line="271" w:lineRule="auto"/>
        <w:tabs>
          <w:tab w:leader="none" w:pos="308" w:val="left"/>
        </w:tabs>
        <w:numPr>
          <w:ilvl w:val="0"/>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employee designated by a Compliance Officer who has, or may have, access to the Company’s consolidated quarterly or annual financial results or other significant financial information; and</w:t>
      </w:r>
    </w:p>
    <w:p>
      <w:pPr>
        <w:spacing w:after="0" w:line="195" w:lineRule="exact"/>
        <w:rPr>
          <w:rFonts w:ascii="Times New Roman" w:cs="Times New Roman" w:eastAsia="Times New Roman" w:hAnsi="Times New Roman"/>
          <w:sz w:val="20"/>
          <w:szCs w:val="20"/>
          <w:color w:val="auto"/>
        </w:rPr>
      </w:pPr>
    </w:p>
    <w:p>
      <w:pPr>
        <w:ind w:left="320" w:right="180" w:hanging="317"/>
        <w:spacing w:after="0" w:line="285" w:lineRule="auto"/>
        <w:tabs>
          <w:tab w:leader="none" w:pos="308" w:val="left"/>
        </w:tabs>
        <w:numPr>
          <w:ilvl w:val="0"/>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Covered Person Accounts of any of the persons listed above. It is the Covered Person’s responsibility to advise these other parties about the blackout requirement.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What transactions are PROHIBITED during a Blackout Period?</w:t>
      </w:r>
    </w:p>
    <w:p>
      <w:pPr>
        <w:spacing w:after="0" w:line="256" w:lineRule="exact"/>
        <w:rPr>
          <w:sz w:val="20"/>
          <w:szCs w:val="20"/>
          <w:color w:val="auto"/>
        </w:rPr>
      </w:pPr>
    </w:p>
    <w:p>
      <w:pPr>
        <w:jc w:val="both"/>
        <w:ind w:left="260" w:right="100" w:hanging="256"/>
        <w:spacing w:after="0" w:line="262" w:lineRule="auto"/>
        <w:tabs>
          <w:tab w:leader="none" w:pos="259" w:val="left"/>
        </w:tabs>
        <w:numPr>
          <w:ilvl w:val="0"/>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Purchase or sale of Company securities and related derivative securities, including transactions in the open market or through a broker or under a securities purchase or sale plan (unless in accordance with pre-arranged written plans that comply with SEC Rule 10b5-1);</w:t>
      </w:r>
    </w:p>
    <w:p>
      <w:pPr>
        <w:spacing w:after="0" w:line="204" w:lineRule="exact"/>
        <w:rPr>
          <w:rFonts w:ascii="Times New Roman" w:cs="Times New Roman" w:eastAsia="Times New Roman" w:hAnsi="Times New Roman"/>
          <w:sz w:val="20"/>
          <w:szCs w:val="20"/>
          <w:color w:val="auto"/>
        </w:rPr>
      </w:pPr>
    </w:p>
    <w:p>
      <w:pPr>
        <w:jc w:val="both"/>
        <w:ind w:left="260" w:right="180" w:hanging="256"/>
        <w:spacing w:after="0" w:line="262" w:lineRule="auto"/>
        <w:tabs>
          <w:tab w:leader="none" w:pos="259" w:val="left"/>
        </w:tabs>
        <w:numPr>
          <w:ilvl w:val="0"/>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Exercise of stock options where any Company stock, including any of the acquired stock, is sold in the market during the Blackout Period (unless in accordance with pre- arranged written plans that comply with SEC Rule 10b5-1);</w:t>
      </w:r>
    </w:p>
    <w:p>
      <w:pPr>
        <w:spacing w:after="0" w:line="190" w:lineRule="exact"/>
        <w:rPr>
          <w:rFonts w:ascii="Times New Roman" w:cs="Times New Roman" w:eastAsia="Times New Roman" w:hAnsi="Times New Roman"/>
          <w:sz w:val="20"/>
          <w:szCs w:val="20"/>
          <w:color w:val="auto"/>
        </w:rPr>
      </w:pPr>
    </w:p>
    <w:p>
      <w:pPr>
        <w:ind w:left="260" w:hanging="256"/>
        <w:spacing w:after="0"/>
        <w:tabs>
          <w:tab w:leader="none" w:pos="2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Transfer of existing balances into or out of the Newell Stock Fund under the 401(k) Plan;</w:t>
      </w:r>
    </w:p>
    <w:p>
      <w:pPr>
        <w:spacing w:after="0" w:line="255" w:lineRule="exact"/>
        <w:rPr>
          <w:rFonts w:ascii="Times New Roman" w:cs="Times New Roman" w:eastAsia="Times New Roman" w:hAnsi="Times New Roman"/>
          <w:sz w:val="20"/>
          <w:szCs w:val="20"/>
          <w:color w:val="auto"/>
        </w:rPr>
      </w:pPr>
    </w:p>
    <w:p>
      <w:pPr>
        <w:ind w:left="260" w:right="180" w:hanging="256"/>
        <w:spacing w:after="0" w:line="285" w:lineRule="auto"/>
        <w:tabs>
          <w:tab w:leader="none" w:pos="259" w:val="left"/>
        </w:tabs>
        <w:numPr>
          <w:ilvl w:val="0"/>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Elections that increase or decrease the rate of deferral contributions to the Newell Stock Fund under the 401(k) Plan; and</w:t>
      </w:r>
    </w:p>
    <w:p>
      <w:pPr>
        <w:spacing w:after="0" w:line="168" w:lineRule="exact"/>
        <w:rPr>
          <w:rFonts w:ascii="Times New Roman" w:cs="Times New Roman" w:eastAsia="Times New Roman" w:hAnsi="Times New Roman"/>
          <w:sz w:val="20"/>
          <w:szCs w:val="20"/>
          <w:color w:val="auto"/>
        </w:rPr>
      </w:pPr>
    </w:p>
    <w:p>
      <w:pPr>
        <w:ind w:left="260" w:right="200" w:hanging="256"/>
        <w:spacing w:after="0" w:line="285" w:lineRule="auto"/>
        <w:tabs>
          <w:tab w:leader="none" w:pos="259" w:val="left"/>
        </w:tabs>
        <w:numPr>
          <w:ilvl w:val="0"/>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Elections to participate in, or to terminate participation in, the Company’s dividend reinvestment plan (or an equivalent plan offered through a third-party broker).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What transactions are PERMITTED during a Blackout Period?</w:t>
      </w:r>
    </w:p>
    <w:p>
      <w:pPr>
        <w:spacing w:after="0" w:line="256" w:lineRule="exact"/>
        <w:rPr>
          <w:sz w:val="20"/>
          <w:szCs w:val="20"/>
          <w:color w:val="auto"/>
        </w:rPr>
      </w:pPr>
    </w:p>
    <w:p>
      <w:pPr>
        <w:ind w:left="260" w:right="180" w:hanging="256"/>
        <w:spacing w:after="0" w:line="271" w:lineRule="auto"/>
        <w:tabs>
          <w:tab w:leader="none" w:pos="259"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Exercise of stock options, including cashless exercises, provided that no Company stock is sold in the market in connection with the option exercise;</w:t>
      </w:r>
    </w:p>
    <w:p>
      <w:pPr>
        <w:spacing w:after="0" w:line="195" w:lineRule="exact"/>
        <w:rPr>
          <w:rFonts w:ascii="Times New Roman" w:cs="Times New Roman" w:eastAsia="Times New Roman" w:hAnsi="Times New Roman"/>
          <w:sz w:val="20"/>
          <w:szCs w:val="20"/>
          <w:color w:val="auto"/>
        </w:rPr>
      </w:pPr>
    </w:p>
    <w:p>
      <w:pPr>
        <w:ind w:left="260" w:right="180" w:hanging="256"/>
        <w:spacing w:after="0" w:line="285" w:lineRule="auto"/>
        <w:tabs>
          <w:tab w:leader="none" w:pos="259"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Regular investment of deferral and matching contributions, including dividend reinvestments, in the Newell Stock Fund under the 401(k) Plan pursuant to pre-existing elections;</w:t>
      </w:r>
    </w:p>
    <w:p>
      <w:pPr>
        <w:spacing w:after="0" w:line="168" w:lineRule="exact"/>
        <w:rPr>
          <w:rFonts w:ascii="Times New Roman" w:cs="Times New Roman" w:eastAsia="Times New Roman" w:hAnsi="Times New Roman"/>
          <w:sz w:val="20"/>
          <w:szCs w:val="20"/>
          <w:color w:val="auto"/>
        </w:rPr>
      </w:pPr>
    </w:p>
    <w:p>
      <w:pPr>
        <w:ind w:left="260" w:right="180" w:hanging="256"/>
        <w:spacing w:after="0" w:line="255" w:lineRule="auto"/>
        <w:tabs>
          <w:tab w:leader="none" w:pos="259"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Regular reinvestment in the Company’s dividend reinvestment plan and employee stock purchase plan (or an equivalent plan offered through a third-party broker) pursuant to pre-existing elections;</w:t>
      </w:r>
    </w:p>
    <w:p>
      <w:pPr>
        <w:ind w:left="260" w:hanging="256"/>
        <w:spacing w:after="0"/>
        <w:tabs>
          <w:tab w:leader="none" w:pos="260"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Transfer of Company securities that does not result in a change in beneficial ownership; and</w:t>
      </w:r>
    </w:p>
    <w:p>
      <w:pPr>
        <w:spacing w:after="0" w:line="250" w:lineRule="exact"/>
        <w:rPr>
          <w:rFonts w:ascii="Times New Roman" w:cs="Times New Roman" w:eastAsia="Times New Roman" w:hAnsi="Times New Roman"/>
          <w:sz w:val="20"/>
          <w:szCs w:val="20"/>
          <w:color w:val="auto"/>
        </w:rPr>
      </w:pPr>
    </w:p>
    <w:p>
      <w:pPr>
        <w:ind w:left="260" w:hanging="257"/>
        <w:spacing w:after="0"/>
        <w:tabs>
          <w:tab w:leader="none" w:pos="260"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that comply with SEC Rule 10b5-1 pre-arranged written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Page 5 of 10</w:t>
      </w:r>
    </w:p>
    <w:p>
      <w:pPr>
        <w:sectPr>
          <w:pgSz w:w="11900" w:h="16838" w:orient="portrait"/>
          <w:cols w:equalWidth="0" w:num="1">
            <w:col w:w="10480"/>
          </w:cols>
          <w:pgMar w:left="1080" w:top="83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19.1</w:t>
      </w:r>
    </w:p>
    <w:p>
      <w:pPr>
        <w:spacing w:after="0" w:line="200" w:lineRule="exact"/>
        <w:rPr>
          <w:sz w:val="20"/>
          <w:szCs w:val="20"/>
          <w:color w:val="auto"/>
        </w:rPr>
      </w:pPr>
    </w:p>
    <w:p>
      <w:pPr>
        <w:spacing w:after="0" w:line="220" w:lineRule="exact"/>
        <w:rPr>
          <w:sz w:val="20"/>
          <w:szCs w:val="20"/>
          <w:color w:val="auto"/>
        </w:rPr>
      </w:pPr>
    </w:p>
    <w:p>
      <w:pPr>
        <w:ind w:left="645" w:right="180" w:firstLine="648"/>
        <w:spacing w:after="0" w:line="286" w:lineRule="auto"/>
        <w:rPr>
          <w:sz w:val="20"/>
          <w:szCs w:val="20"/>
          <w:color w:val="auto"/>
        </w:rPr>
      </w:pPr>
      <w:r>
        <w:rPr>
          <w:rFonts w:ascii="Arial" w:cs="Arial" w:eastAsia="Arial" w:hAnsi="Arial"/>
          <w:sz w:val="20"/>
          <w:szCs w:val="20"/>
          <w:color w:val="auto"/>
        </w:rPr>
        <w:t>Any question whether a transaction is prohibited or permitted during a Blackout Period should be raised with the Compliance Officer.</w:t>
      </w:r>
    </w:p>
    <w:p>
      <w:pPr>
        <w:spacing w:after="0" w:line="181" w:lineRule="exact"/>
        <w:rPr>
          <w:sz w:val="20"/>
          <w:szCs w:val="20"/>
          <w:color w:val="auto"/>
        </w:rPr>
      </w:pPr>
    </w:p>
    <w:p>
      <w:pPr>
        <w:ind w:left="645" w:right="180" w:firstLine="648"/>
        <w:spacing w:after="0" w:line="286" w:lineRule="auto"/>
        <w:rPr>
          <w:sz w:val="20"/>
          <w:szCs w:val="20"/>
          <w:color w:val="auto"/>
        </w:rPr>
      </w:pPr>
      <w:r>
        <w:rPr>
          <w:rFonts w:ascii="Arial" w:cs="Arial" w:eastAsia="Arial" w:hAnsi="Arial"/>
          <w:sz w:val="20"/>
          <w:szCs w:val="20"/>
          <w:color w:val="auto"/>
        </w:rPr>
        <w:t>In addition to the standard end-of-quarter Blackout Periods, the Company may, from time to time, impose other, event-specific Blackout Periods by notifying those persons who are affected.</w:t>
      </w:r>
    </w:p>
    <w:p>
      <w:pPr>
        <w:spacing w:after="0" w:line="200" w:lineRule="exact"/>
        <w:rPr>
          <w:sz w:val="20"/>
          <w:szCs w:val="20"/>
          <w:color w:val="auto"/>
        </w:rPr>
      </w:pPr>
    </w:p>
    <w:p>
      <w:pPr>
        <w:spacing w:after="0" w:line="235" w:lineRule="exact"/>
        <w:rPr>
          <w:sz w:val="20"/>
          <w:szCs w:val="20"/>
          <w:color w:val="auto"/>
        </w:rPr>
      </w:pPr>
    </w:p>
    <w:p>
      <w:pPr>
        <w:ind w:left="645" w:hanging="589"/>
        <w:spacing w:after="0"/>
        <w:tabs>
          <w:tab w:leader="none" w:pos="645"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RULE 10b5-1</w:t>
      </w:r>
    </w:p>
    <w:p>
      <w:pPr>
        <w:spacing w:after="0" w:line="258" w:lineRule="exact"/>
        <w:rPr>
          <w:sz w:val="20"/>
          <w:szCs w:val="20"/>
          <w:color w:val="auto"/>
        </w:rPr>
      </w:pPr>
    </w:p>
    <w:p>
      <w:pPr>
        <w:jc w:val="both"/>
        <w:ind w:left="645" w:right="180" w:firstLine="648"/>
        <w:spacing w:after="0" w:line="251" w:lineRule="auto"/>
        <w:rPr>
          <w:sz w:val="20"/>
          <w:szCs w:val="20"/>
          <w:color w:val="auto"/>
        </w:rPr>
      </w:pPr>
      <w:r>
        <w:rPr>
          <w:rFonts w:ascii="Arial" w:cs="Arial" w:eastAsia="Arial" w:hAnsi="Arial"/>
          <w:sz w:val="20"/>
          <w:szCs w:val="20"/>
          <w:color w:val="auto"/>
        </w:rPr>
        <w:t>Covered Persons covered by the Blackout Policy who may wish to engage in transactions in Company securities, including gifts, that may occur during the Blackout or at some period when they may be aware of material non-public information regarding the Company or its securities and thus are prohibited from trading in those securities may pre- arrange such transactions in accordance with a plan that complies with SEC Rule 10b5-</w:t>
      </w:r>
    </w:p>
    <w:p>
      <w:pPr>
        <w:spacing w:after="0" w:line="1" w:lineRule="exact"/>
        <w:rPr>
          <w:sz w:val="20"/>
          <w:szCs w:val="20"/>
          <w:color w:val="auto"/>
        </w:rPr>
      </w:pPr>
    </w:p>
    <w:p>
      <w:pPr>
        <w:ind w:left="645" w:right="200" w:firstLine="3"/>
        <w:spacing w:after="0" w:line="267" w:lineRule="auto"/>
        <w:tabs>
          <w:tab w:leader="none" w:pos="1174" w:val="left"/>
        </w:tabs>
        <w:numPr>
          <w:ilvl w:val="0"/>
          <w:numId w:val="66"/>
        </w:numPr>
        <w:rPr>
          <w:rFonts w:ascii="Arial" w:cs="Arial" w:eastAsia="Arial" w:hAnsi="Arial"/>
          <w:sz w:val="20"/>
          <w:szCs w:val="20"/>
          <w:color w:val="auto"/>
        </w:rPr>
      </w:pPr>
      <w:r>
        <w:rPr>
          <w:rFonts w:ascii="Arial" w:cs="Arial" w:eastAsia="Arial" w:hAnsi="Arial"/>
          <w:sz w:val="20"/>
          <w:szCs w:val="20"/>
          <w:color w:val="auto"/>
        </w:rPr>
        <w:t>Rule 10b5-1 generally prohibits an individual from exercising any influence over the amount, price or timing of any trade once a plan is adopted.</w:t>
      </w:r>
    </w:p>
    <w:p>
      <w:pPr>
        <w:spacing w:after="0" w:line="199" w:lineRule="exact"/>
        <w:rPr>
          <w:sz w:val="20"/>
          <w:szCs w:val="20"/>
          <w:color w:val="auto"/>
        </w:rPr>
      </w:pPr>
    </w:p>
    <w:p>
      <w:pPr>
        <w:jc w:val="both"/>
        <w:ind w:left="645" w:right="180" w:firstLine="648"/>
        <w:spacing w:after="0" w:line="254" w:lineRule="auto"/>
        <w:rPr>
          <w:sz w:val="20"/>
          <w:szCs w:val="20"/>
          <w:color w:val="auto"/>
        </w:rPr>
      </w:pPr>
      <w:r>
        <w:rPr>
          <w:rFonts w:ascii="Arial" w:cs="Arial" w:eastAsia="Arial" w:hAnsi="Arial"/>
          <w:sz w:val="20"/>
          <w:szCs w:val="20"/>
          <w:color w:val="auto"/>
        </w:rPr>
        <w:t>A Rule 10b5-1 plan must not be entered into during a Blackout Period or at a time when the Covered Person is aware of any material non-public information about the Company or its securities, and such plan must be entered into, adopted or modified in good faith and not as part of a plan or scheme to evade this Policy or the federal securities laws. Each Covered Person must provide a written certification of these statements to the Compliance Officer or his delegate.</w:t>
      </w:r>
    </w:p>
    <w:p>
      <w:pPr>
        <w:spacing w:after="0" w:line="228" w:lineRule="exact"/>
        <w:rPr>
          <w:sz w:val="20"/>
          <w:szCs w:val="20"/>
          <w:color w:val="auto"/>
        </w:rPr>
      </w:pPr>
    </w:p>
    <w:p>
      <w:pPr>
        <w:jc w:val="both"/>
        <w:ind w:left="645" w:right="180" w:firstLine="648"/>
        <w:spacing w:after="0" w:line="254" w:lineRule="auto"/>
        <w:rPr>
          <w:sz w:val="20"/>
          <w:szCs w:val="20"/>
          <w:color w:val="auto"/>
        </w:rPr>
      </w:pPr>
      <w:r>
        <w:rPr>
          <w:rFonts w:ascii="Arial" w:cs="Arial" w:eastAsia="Arial" w:hAnsi="Arial"/>
          <w:sz w:val="20"/>
          <w:szCs w:val="20"/>
          <w:color w:val="auto"/>
        </w:rPr>
        <w:t xml:space="preserve">All Rule 10b5-1 plans must contain a mandatory cooling off period following adoption or modification of a plan that begins on the date of plan adoption or modification and ends the later of (i) 90 days following plan adoption or modification and (ii) two business days following the filing of a Form 10-Q or 10-K by the Company covering the financial reporting period in which the plan was adopted or modified (but not to exceed 120 days following plan adoption or modification) before any trading can commence. The entry into, amendment or termination of any Rule 10b5-1 plan must be approved </w:t>
      </w:r>
      <w:r>
        <w:rPr>
          <w:rFonts w:ascii="Arial" w:cs="Arial" w:eastAsia="Arial" w:hAnsi="Arial"/>
          <w:sz w:val="20"/>
          <w:szCs w:val="20"/>
          <w:i w:val="1"/>
          <w:iCs w:val="1"/>
          <w:color w:val="auto"/>
        </w:rPr>
        <w:t>in advance, in writing</w:t>
      </w:r>
      <w:r>
        <w:rPr>
          <w:rFonts w:ascii="Arial" w:cs="Arial" w:eastAsia="Arial" w:hAnsi="Arial"/>
          <w:sz w:val="20"/>
          <w:szCs w:val="20"/>
          <w:color w:val="auto"/>
        </w:rPr>
        <w:t>, by the Compliance Officer or his delegate.</w:t>
      </w:r>
    </w:p>
    <w:p>
      <w:pPr>
        <w:spacing w:after="0" w:line="214" w:lineRule="exact"/>
        <w:rPr>
          <w:sz w:val="20"/>
          <w:szCs w:val="20"/>
          <w:color w:val="auto"/>
        </w:rPr>
      </w:pPr>
    </w:p>
    <w:p>
      <w:pPr>
        <w:jc w:val="both"/>
        <w:ind w:left="645" w:right="180" w:firstLine="648"/>
        <w:spacing w:after="0" w:line="262" w:lineRule="auto"/>
        <w:rPr>
          <w:sz w:val="20"/>
          <w:szCs w:val="20"/>
          <w:color w:val="auto"/>
        </w:rPr>
      </w:pPr>
      <w:r>
        <w:rPr>
          <w:rFonts w:ascii="Arial" w:cs="Arial" w:eastAsia="Arial" w:hAnsi="Arial"/>
          <w:sz w:val="20"/>
          <w:szCs w:val="20"/>
          <w:color w:val="auto"/>
        </w:rPr>
        <w:t>Any trades consummated pursuant to a Rule 10b5-1 plan must promptly be reported to the Compliance Officer or his delegate. Note that current SEC rules require the Company to disclose on a quarterly basis the name of each director or officer having an outstanding Rule 10b5-1 plan and the material terms of that plan.</w:t>
      </w:r>
    </w:p>
    <w:p>
      <w:pPr>
        <w:spacing w:after="0" w:line="200" w:lineRule="exact"/>
        <w:rPr>
          <w:sz w:val="20"/>
          <w:szCs w:val="20"/>
          <w:color w:val="auto"/>
        </w:rPr>
      </w:pPr>
    </w:p>
    <w:p>
      <w:pPr>
        <w:spacing w:after="0" w:line="246" w:lineRule="exact"/>
        <w:rPr>
          <w:sz w:val="20"/>
          <w:szCs w:val="20"/>
          <w:color w:val="auto"/>
        </w:rPr>
      </w:pPr>
    </w:p>
    <w:p>
      <w:pPr>
        <w:ind w:left="645" w:hanging="645"/>
        <w:spacing w:after="0"/>
        <w:tabs>
          <w:tab w:leader="none" w:pos="645"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TRANSACTIONS IN LISTED OPTIONS</w:t>
      </w:r>
    </w:p>
    <w:p>
      <w:pPr>
        <w:spacing w:after="0" w:line="258" w:lineRule="exact"/>
        <w:rPr>
          <w:sz w:val="20"/>
          <w:szCs w:val="20"/>
          <w:color w:val="auto"/>
        </w:rPr>
      </w:pPr>
    </w:p>
    <w:p>
      <w:pPr>
        <w:jc w:val="both"/>
        <w:ind w:left="645" w:right="180" w:firstLine="648"/>
        <w:spacing w:after="0" w:line="259" w:lineRule="auto"/>
        <w:rPr>
          <w:sz w:val="20"/>
          <w:szCs w:val="20"/>
          <w:color w:val="auto"/>
        </w:rPr>
      </w:pPr>
      <w:r>
        <w:rPr>
          <w:rFonts w:ascii="Arial" w:cs="Arial" w:eastAsia="Arial" w:hAnsi="Arial"/>
          <w:sz w:val="20"/>
          <w:szCs w:val="20"/>
          <w:color w:val="auto"/>
        </w:rPr>
        <w:t xml:space="preserve">All Covered Persons who are subject to the Blackout Period are prohibited from buying or selling publicly traded options, including puts and calls, on the Company’s securities </w:t>
      </w:r>
      <w:r>
        <w:rPr>
          <w:rFonts w:ascii="Arial" w:cs="Arial" w:eastAsia="Arial" w:hAnsi="Arial"/>
          <w:sz w:val="20"/>
          <w:szCs w:val="20"/>
          <w:i w:val="1"/>
          <w:iCs w:val="1"/>
          <w:color w:val="auto"/>
        </w:rPr>
        <w:t>at any time</w:t>
      </w:r>
      <w:r>
        <w:rPr>
          <w:rFonts w:ascii="Arial" w:cs="Arial" w:eastAsia="Arial" w:hAnsi="Arial"/>
          <w:sz w:val="20"/>
          <w:szCs w:val="20"/>
          <w:color w:val="auto"/>
        </w:rPr>
        <w:t>. This prohibition applies whether or not any such Covered Person is in possession of any material non-public information and whether or not a Blackout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25"/>
        <w:spacing w:after="0"/>
        <w:rPr>
          <w:sz w:val="20"/>
          <w:szCs w:val="20"/>
          <w:color w:val="auto"/>
        </w:rPr>
      </w:pPr>
      <w:r>
        <w:rPr>
          <w:rFonts w:ascii="Arial" w:cs="Arial" w:eastAsia="Arial" w:hAnsi="Arial"/>
          <w:sz w:val="14"/>
          <w:szCs w:val="14"/>
          <w:color w:val="auto"/>
        </w:rPr>
        <w:t>Page 6 of 10</w:t>
      </w:r>
    </w:p>
    <w:p>
      <w:pPr>
        <w:sectPr>
          <w:pgSz w:w="11900" w:h="16838" w:orient="portrait"/>
          <w:cols w:equalWidth="0" w:num="1">
            <w:col w:w="11125"/>
          </w:cols>
          <w:pgMar w:left="435" w:top="83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19.1</w:t>
      </w:r>
    </w:p>
    <w:p>
      <w:pPr>
        <w:spacing w:after="0" w:line="351" w:lineRule="exact"/>
        <w:rPr>
          <w:sz w:val="20"/>
          <w:szCs w:val="20"/>
          <w:color w:val="auto"/>
        </w:rPr>
      </w:pPr>
    </w:p>
    <w:p>
      <w:pPr>
        <w:ind w:left="645" w:hanging="645"/>
        <w:spacing w:after="0"/>
        <w:tabs>
          <w:tab w:leader="none" w:pos="645"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PRE-CLEARANCE POLICY</w:t>
      </w:r>
    </w:p>
    <w:p>
      <w:pPr>
        <w:spacing w:after="0" w:line="258" w:lineRule="exact"/>
        <w:rPr>
          <w:sz w:val="20"/>
          <w:szCs w:val="20"/>
          <w:color w:val="auto"/>
        </w:rPr>
      </w:pPr>
    </w:p>
    <w:p>
      <w:pPr>
        <w:jc w:val="both"/>
        <w:ind w:left="645" w:right="180" w:firstLine="648"/>
        <w:spacing w:after="0" w:line="254" w:lineRule="auto"/>
        <w:rPr>
          <w:sz w:val="20"/>
          <w:szCs w:val="20"/>
          <w:color w:val="auto"/>
        </w:rPr>
      </w:pPr>
      <w:r>
        <w:rPr>
          <w:rFonts w:ascii="Arial" w:cs="Arial" w:eastAsia="Arial" w:hAnsi="Arial"/>
          <w:sz w:val="20"/>
          <w:szCs w:val="20"/>
          <w:color w:val="auto"/>
        </w:rPr>
        <w:t xml:space="preserve">Covered Persons subject to the Pre-Clearance Policy are prohibited from engaging in any transaction in Company securities without pre-clearance. In order to obtain pre- clearance, Covered Persons subject to this requirement must contact the Compliance Officer </w:t>
      </w:r>
      <w:r>
        <w:rPr>
          <w:rFonts w:ascii="Arial" w:cs="Arial" w:eastAsia="Arial" w:hAnsi="Arial"/>
          <w:sz w:val="20"/>
          <w:szCs w:val="20"/>
          <w:i w:val="1"/>
          <w:iCs w:val="1"/>
          <w:color w:val="auto"/>
        </w:rPr>
        <w:t>in writing (such as e-mail)</w:t>
      </w:r>
      <w:r>
        <w:rPr>
          <w:rFonts w:ascii="Arial" w:cs="Arial" w:eastAsia="Arial" w:hAnsi="Arial"/>
          <w:sz w:val="20"/>
          <w:szCs w:val="20"/>
          <w:color w:val="auto"/>
        </w:rPr>
        <w:t xml:space="preserve"> as far in advance as reasonably practicable before engaging in any transaction in the Company’s securities. The Compliance Officer is under no obligation to approve a trade submitted for pre-clearance and may determine not to permit the trade. Transactions prohibited by the Blackout Policy may not be pre-cleared.</w:t>
      </w:r>
    </w:p>
    <w:p>
      <w:pPr>
        <w:spacing w:after="0" w:line="200" w:lineRule="exact"/>
        <w:rPr>
          <w:sz w:val="20"/>
          <w:szCs w:val="20"/>
          <w:color w:val="auto"/>
        </w:rPr>
      </w:pPr>
    </w:p>
    <w:p>
      <w:pPr>
        <w:ind w:left="645"/>
        <w:spacing w:after="0"/>
        <w:rPr>
          <w:sz w:val="20"/>
          <w:szCs w:val="20"/>
          <w:color w:val="auto"/>
        </w:rPr>
      </w:pPr>
      <w:r>
        <w:rPr>
          <w:rFonts w:ascii="Arial" w:cs="Arial" w:eastAsia="Arial" w:hAnsi="Arial"/>
          <w:sz w:val="20"/>
          <w:szCs w:val="20"/>
          <w:u w:val="single" w:color="auto"/>
          <w:color w:val="auto"/>
        </w:rPr>
        <w:t>Who is covered by the Pre-Clearance Policy?</w:t>
      </w:r>
    </w:p>
    <w:p>
      <w:pPr>
        <w:spacing w:after="0" w:line="256" w:lineRule="exact"/>
        <w:rPr>
          <w:sz w:val="20"/>
          <w:szCs w:val="20"/>
          <w:color w:val="auto"/>
        </w:rPr>
      </w:pPr>
    </w:p>
    <w:p>
      <w:pPr>
        <w:ind w:left="965" w:hanging="316"/>
        <w:spacing w:after="0"/>
        <w:tabs>
          <w:tab w:leader="none" w:pos="965"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Members of the Board of Directors and Section 16 officers of Newell Brands Inc.;</w:t>
      </w:r>
    </w:p>
    <w:p>
      <w:pPr>
        <w:spacing w:after="0" w:line="16" w:lineRule="exact"/>
        <w:rPr>
          <w:rFonts w:ascii="Times New Roman" w:cs="Times New Roman" w:eastAsia="Times New Roman" w:hAnsi="Times New Roman"/>
          <w:sz w:val="20"/>
          <w:szCs w:val="20"/>
          <w:color w:val="auto"/>
        </w:rPr>
      </w:pPr>
    </w:p>
    <w:p>
      <w:pPr>
        <w:ind w:left="965" w:right="180" w:hanging="317"/>
        <w:spacing w:after="0" w:line="266" w:lineRule="auto"/>
        <w:tabs>
          <w:tab w:leader="none" w:pos="953"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Executive Leadership Team members or members of any functionally similar committee established by the Chief Executive Officer of Newell Brands Inc.; and</w:t>
      </w:r>
    </w:p>
    <w:p>
      <w:pPr>
        <w:spacing w:after="0" w:line="200" w:lineRule="exact"/>
        <w:rPr>
          <w:rFonts w:ascii="Times New Roman" w:cs="Times New Roman" w:eastAsia="Times New Roman" w:hAnsi="Times New Roman"/>
          <w:sz w:val="20"/>
          <w:szCs w:val="20"/>
          <w:color w:val="auto"/>
        </w:rPr>
      </w:pPr>
    </w:p>
    <w:p>
      <w:pPr>
        <w:ind w:left="965" w:right="180" w:hanging="317"/>
        <w:spacing w:after="0" w:line="271" w:lineRule="auto"/>
        <w:tabs>
          <w:tab w:leader="none" w:pos="953"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Covered Person Accounts of any of the persons listed above. It is the Covered Person’s responsibility to advise these other parties about the pre-clearance requirement.</w:t>
      </w:r>
    </w:p>
    <w:p>
      <w:pPr>
        <w:spacing w:after="0" w:line="195" w:lineRule="exact"/>
        <w:rPr>
          <w:sz w:val="20"/>
          <w:szCs w:val="20"/>
          <w:color w:val="auto"/>
        </w:rPr>
      </w:pPr>
    </w:p>
    <w:p>
      <w:pPr>
        <w:ind w:left="645"/>
        <w:spacing w:after="0"/>
        <w:rPr>
          <w:sz w:val="20"/>
          <w:szCs w:val="20"/>
          <w:color w:val="auto"/>
        </w:rPr>
      </w:pPr>
      <w:r>
        <w:rPr>
          <w:rFonts w:ascii="Arial" w:cs="Arial" w:eastAsia="Arial" w:hAnsi="Arial"/>
          <w:sz w:val="20"/>
          <w:szCs w:val="20"/>
          <w:u w:val="single" w:color="auto"/>
          <w:color w:val="auto"/>
        </w:rPr>
        <w:t>What transactions are PROHIBITED without prior clearance under the Pre-Clearance Policy?</w:t>
      </w:r>
    </w:p>
    <w:p>
      <w:pPr>
        <w:spacing w:after="0" w:line="243" w:lineRule="exact"/>
        <w:rPr>
          <w:sz w:val="20"/>
          <w:szCs w:val="20"/>
          <w:color w:val="auto"/>
        </w:rPr>
      </w:pPr>
    </w:p>
    <w:p>
      <w:pPr>
        <w:jc w:val="both"/>
        <w:ind w:left="645" w:right="180" w:firstLine="648"/>
        <w:spacing w:after="0" w:line="254" w:lineRule="auto"/>
        <w:rPr>
          <w:sz w:val="20"/>
          <w:szCs w:val="20"/>
          <w:color w:val="auto"/>
        </w:rPr>
      </w:pPr>
      <w:r>
        <w:rPr>
          <w:rFonts w:ascii="Arial" w:cs="Arial" w:eastAsia="Arial" w:hAnsi="Arial"/>
          <w:sz w:val="20"/>
          <w:szCs w:val="20"/>
          <w:color w:val="auto"/>
        </w:rPr>
        <w:t xml:space="preserve">All transactions in Company securities and related derivative securities must be pre-cleared with the Compliance Officer. No transaction subject to the Pre-Clearance Policy may be effected without prior written (such as e-mail) approval by the Compliance Officer. The approval shall specify the amount of securities to be purchased or sold and the period for which approval of the transactions is in effect. If for any reason the proposed trade is not completed within the specified time period, the pre-clearance process must be repeated. With the exception of a pre-clearance approval of transactions undertaken in accordance with a Rule 10b5-1 plan, </w:t>
      </w:r>
      <w:r>
        <w:rPr>
          <w:rFonts w:ascii="Arial" w:cs="Arial" w:eastAsia="Arial" w:hAnsi="Arial"/>
          <w:sz w:val="20"/>
          <w:szCs w:val="20"/>
          <w:i w:val="1"/>
          <w:iCs w:val="1"/>
          <w:color w:val="auto"/>
        </w:rPr>
        <w:t>any pre-clearance approval is</w:t>
      </w:r>
      <w:r>
        <w:rPr>
          <w:rFonts w:ascii="Arial" w:cs="Arial" w:eastAsia="Arial" w:hAnsi="Arial"/>
          <w:sz w:val="20"/>
          <w:szCs w:val="20"/>
          <w:color w:val="auto"/>
        </w:rPr>
        <w:t xml:space="preserve"> </w:t>
      </w:r>
      <w:r>
        <w:rPr>
          <w:rFonts w:ascii="Arial" w:cs="Arial" w:eastAsia="Arial" w:hAnsi="Arial"/>
          <w:sz w:val="20"/>
          <w:szCs w:val="20"/>
          <w:i w:val="1"/>
          <w:iCs w:val="1"/>
          <w:color w:val="auto"/>
        </w:rPr>
        <w:t>automatically revoked by imposition of an event-specific Blackout Period</w:t>
      </w:r>
      <w:r>
        <w:rPr>
          <w:rFonts w:ascii="Arial" w:cs="Arial" w:eastAsia="Arial" w:hAnsi="Arial"/>
          <w:sz w:val="20"/>
          <w:szCs w:val="20"/>
          <w:color w:val="auto"/>
        </w:rPr>
        <w:t>.</w:t>
      </w:r>
    </w:p>
    <w:p>
      <w:pPr>
        <w:spacing w:after="0" w:line="200" w:lineRule="exact"/>
        <w:rPr>
          <w:sz w:val="20"/>
          <w:szCs w:val="20"/>
          <w:color w:val="auto"/>
        </w:rPr>
      </w:pPr>
    </w:p>
    <w:p>
      <w:pPr>
        <w:jc w:val="both"/>
        <w:ind w:left="645" w:right="180" w:firstLine="648"/>
        <w:spacing w:after="0" w:line="258" w:lineRule="auto"/>
        <w:rPr>
          <w:sz w:val="20"/>
          <w:szCs w:val="20"/>
          <w:color w:val="auto"/>
        </w:rPr>
      </w:pPr>
      <w:r>
        <w:rPr>
          <w:rFonts w:ascii="Arial" w:cs="Arial" w:eastAsia="Arial" w:hAnsi="Arial"/>
          <w:sz w:val="20"/>
          <w:szCs w:val="20"/>
          <w:color w:val="auto"/>
        </w:rPr>
        <w:t xml:space="preserve">Pre-clearance is particularly important because it will enable the Compliance Officer to confirm that the transaction complies with the reporting requirements under Section 16(a), Rule 10b-5, Rule 144 and all other applicable provisions of the federal securities laws and does not expose a buyer or seller to short-swing profit recovery under Section 16(b) for directors and certain officers. </w:t>
      </w:r>
      <w:r>
        <w:rPr>
          <w:rFonts w:ascii="Arial" w:cs="Arial" w:eastAsia="Arial" w:hAnsi="Arial"/>
          <w:sz w:val="20"/>
          <w:szCs w:val="20"/>
          <w:i w:val="1"/>
          <w:iCs w:val="1"/>
          <w:color w:val="auto"/>
        </w:rPr>
        <w:t>However, each person is ultimately responsible for his</w:t>
      </w:r>
      <w:r>
        <w:rPr>
          <w:rFonts w:ascii="Arial" w:cs="Arial" w:eastAsia="Arial" w:hAnsi="Arial"/>
          <w:sz w:val="20"/>
          <w:szCs w:val="20"/>
          <w:color w:val="auto"/>
        </w:rPr>
        <w:t xml:space="preserve"> </w:t>
      </w:r>
      <w:r>
        <w:rPr>
          <w:rFonts w:ascii="Arial" w:cs="Arial" w:eastAsia="Arial" w:hAnsi="Arial"/>
          <w:sz w:val="20"/>
          <w:szCs w:val="20"/>
          <w:i w:val="1"/>
          <w:iCs w:val="1"/>
          <w:color w:val="auto"/>
        </w:rPr>
        <w:t>or her compliance with the federal securities laws and, in particular, the avoidance of short-swing profits.</w:t>
      </w:r>
    </w:p>
    <w:p>
      <w:pPr>
        <w:spacing w:after="0" w:line="193" w:lineRule="exact"/>
        <w:rPr>
          <w:sz w:val="20"/>
          <w:szCs w:val="20"/>
          <w:color w:val="auto"/>
        </w:rPr>
      </w:pPr>
    </w:p>
    <w:p>
      <w:pPr>
        <w:ind w:left="645" w:right="1900" w:hanging="644"/>
        <w:spacing w:after="0" w:line="298" w:lineRule="auto"/>
        <w:tabs>
          <w:tab w:leader="none" w:pos="61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RESTRICTIONS AND PROCEDURES APPLICABLE ONLY TO DIRECTORS AND SECTION 16 OFFICERS</w:t>
      </w:r>
    </w:p>
    <w:p>
      <w:pPr>
        <w:spacing w:after="0" w:line="160" w:lineRule="exact"/>
        <w:rPr>
          <w:sz w:val="20"/>
          <w:szCs w:val="20"/>
          <w:color w:val="auto"/>
        </w:rPr>
      </w:pPr>
    </w:p>
    <w:p>
      <w:pPr>
        <w:jc w:val="both"/>
        <w:ind w:left="465" w:right="180" w:firstLine="648"/>
        <w:spacing w:after="0" w:line="262" w:lineRule="auto"/>
        <w:rPr>
          <w:sz w:val="20"/>
          <w:szCs w:val="20"/>
          <w:color w:val="auto"/>
        </w:rPr>
      </w:pPr>
      <w:r>
        <w:rPr>
          <w:rFonts w:ascii="Arial" w:cs="Arial" w:eastAsia="Arial" w:hAnsi="Arial"/>
          <w:sz w:val="20"/>
          <w:szCs w:val="20"/>
          <w:color w:val="auto"/>
        </w:rPr>
        <w:t>The Compliance Officer will assist directors and Section 16 officers in considering questions relating to their beneficial ownership of Company securities and their reporting obligations as well as possible liability associated with trading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25"/>
        <w:spacing w:after="0"/>
        <w:rPr>
          <w:sz w:val="20"/>
          <w:szCs w:val="20"/>
          <w:color w:val="auto"/>
        </w:rPr>
      </w:pPr>
      <w:r>
        <w:rPr>
          <w:rFonts w:ascii="Arial" w:cs="Arial" w:eastAsia="Arial" w:hAnsi="Arial"/>
          <w:sz w:val="14"/>
          <w:szCs w:val="14"/>
          <w:color w:val="auto"/>
        </w:rPr>
        <w:t>Page 7 of 10</w:t>
      </w:r>
    </w:p>
    <w:p>
      <w:pPr>
        <w:sectPr>
          <w:pgSz w:w="11900" w:h="16838" w:orient="portrait"/>
          <w:cols w:equalWidth="0" w:num="1">
            <w:col w:w="11125"/>
          </w:cols>
          <w:pgMar w:left="435" w:top="83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19.1</w:t>
      </w:r>
    </w:p>
    <w:p>
      <w:pPr>
        <w:spacing w:after="0" w:line="353" w:lineRule="exact"/>
        <w:rPr>
          <w:sz w:val="20"/>
          <w:szCs w:val="20"/>
          <w:color w:val="auto"/>
        </w:rPr>
      </w:pPr>
    </w:p>
    <w:p>
      <w:pPr>
        <w:ind w:left="5" w:right="180"/>
        <w:spacing w:after="0" w:line="286" w:lineRule="auto"/>
        <w:rPr>
          <w:sz w:val="20"/>
          <w:szCs w:val="20"/>
          <w:color w:val="auto"/>
        </w:rPr>
      </w:pPr>
      <w:r>
        <w:rPr>
          <w:rFonts w:ascii="Arial" w:cs="Arial" w:eastAsia="Arial" w:hAnsi="Arial"/>
          <w:sz w:val="20"/>
          <w:szCs w:val="20"/>
          <w:color w:val="auto"/>
        </w:rPr>
        <w:t>securities. The Filing Coordinator will be responsible for the preparation and filing of all Forms 3, 4 and 5 reports based on information furnished by directors and Section 16 officers.</w:t>
      </w:r>
    </w:p>
    <w:p>
      <w:pPr>
        <w:spacing w:after="0" w:line="181" w:lineRule="exact"/>
        <w:rPr>
          <w:sz w:val="20"/>
          <w:szCs w:val="20"/>
          <w:color w:val="auto"/>
        </w:rPr>
      </w:pPr>
    </w:p>
    <w:p>
      <w:pPr>
        <w:ind w:left="185"/>
        <w:spacing w:after="0"/>
        <w:rPr>
          <w:sz w:val="20"/>
          <w:szCs w:val="20"/>
          <w:color w:val="auto"/>
        </w:rPr>
      </w:pPr>
      <w:r>
        <w:rPr>
          <w:rFonts w:ascii="Arial" w:cs="Arial" w:eastAsia="Arial" w:hAnsi="Arial"/>
          <w:sz w:val="20"/>
          <w:szCs w:val="20"/>
          <w:u w:val="single" w:color="auto"/>
          <w:color w:val="auto"/>
        </w:rPr>
        <w:t>Completion and Filing of Forms 3, 4 and 5</w:t>
      </w:r>
    </w:p>
    <w:p>
      <w:pPr>
        <w:spacing w:after="0" w:line="337" w:lineRule="exact"/>
        <w:rPr>
          <w:sz w:val="20"/>
          <w:szCs w:val="20"/>
          <w:color w:val="auto"/>
        </w:rPr>
      </w:pPr>
    </w:p>
    <w:p>
      <w:pPr>
        <w:ind w:left="5" w:right="180" w:firstLine="648"/>
        <w:spacing w:after="0" w:line="286" w:lineRule="auto"/>
        <w:rPr>
          <w:sz w:val="20"/>
          <w:szCs w:val="20"/>
          <w:color w:val="auto"/>
        </w:rPr>
      </w:pPr>
      <w:r>
        <w:rPr>
          <w:rFonts w:ascii="Arial" w:cs="Arial" w:eastAsia="Arial" w:hAnsi="Arial"/>
          <w:sz w:val="20"/>
          <w:szCs w:val="20"/>
          <w:color w:val="auto"/>
        </w:rPr>
        <w:t>The Filing Coordinator will prepare, sign and file with the SEC, pursuant to powers of attorney obtained from and on behalf of each director and Section 16 officer of the Company, the following beneficial ownership reports:</w:t>
      </w:r>
    </w:p>
    <w:p>
      <w:pPr>
        <w:spacing w:after="0" w:line="181" w:lineRule="exact"/>
        <w:rPr>
          <w:sz w:val="20"/>
          <w:szCs w:val="20"/>
          <w:color w:val="auto"/>
        </w:rPr>
      </w:pPr>
    </w:p>
    <w:p>
      <w:pPr>
        <w:ind w:left="325" w:right="240" w:hanging="325"/>
        <w:spacing w:after="0" w:line="285" w:lineRule="auto"/>
        <w:tabs>
          <w:tab w:leader="none" w:pos="313"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color w:val="auto"/>
        </w:rPr>
        <w:t>An initial report on Form 3 to disclose holdings of the Company’s equity securities as of the date he or she becomes a director/Section 16 Officer within 10 calendar days;</w:t>
      </w:r>
    </w:p>
    <w:p>
      <w:pPr>
        <w:spacing w:after="0" w:line="181" w:lineRule="exact"/>
        <w:rPr>
          <w:rFonts w:ascii="Times New Roman" w:cs="Times New Roman" w:eastAsia="Times New Roman" w:hAnsi="Times New Roman"/>
          <w:sz w:val="20"/>
          <w:szCs w:val="20"/>
          <w:color w:val="auto"/>
        </w:rPr>
      </w:pPr>
    </w:p>
    <w:p>
      <w:pPr>
        <w:ind w:left="325" w:right="180" w:hanging="325"/>
        <w:spacing w:after="0" w:line="271" w:lineRule="auto"/>
        <w:tabs>
          <w:tab w:leader="none" w:pos="313"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color w:val="auto"/>
        </w:rPr>
        <w:t>Subsequent reports on Form 4 to disclose any change in beneficial ownership of the Company’s equity securities within two business days after the execution date (not the settlement date) of a transaction; and</w:t>
      </w:r>
    </w:p>
    <w:p>
      <w:pPr>
        <w:spacing w:after="0" w:line="208" w:lineRule="exact"/>
        <w:rPr>
          <w:rFonts w:ascii="Times New Roman" w:cs="Times New Roman" w:eastAsia="Times New Roman" w:hAnsi="Times New Roman"/>
          <w:sz w:val="20"/>
          <w:szCs w:val="20"/>
          <w:color w:val="auto"/>
        </w:rPr>
      </w:pPr>
    </w:p>
    <w:p>
      <w:pPr>
        <w:jc w:val="both"/>
        <w:ind w:left="325" w:right="180" w:hanging="325"/>
        <w:spacing w:after="0" w:line="254" w:lineRule="auto"/>
        <w:tabs>
          <w:tab w:leader="none" w:pos="313"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color w:val="auto"/>
        </w:rPr>
        <w:t>Annual Reports on Form 5 to disclose any holding or transaction not previously disclosed (either because of a failure to file or an exemption from current reporting) by February 14 of each year. If a Covered Person is not required to file a Form 5 in a given year, the Filing Coordinator will prepare a statement for the Covered Person’s confirmation to the effect that the Covered Person has no obligation to file a Form 5.</w:t>
      </w:r>
    </w:p>
    <w:p>
      <w:pPr>
        <w:spacing w:after="0" w:line="213" w:lineRule="exact"/>
        <w:rPr>
          <w:sz w:val="20"/>
          <w:szCs w:val="20"/>
          <w:color w:val="auto"/>
        </w:rPr>
      </w:pPr>
    </w:p>
    <w:p>
      <w:pPr>
        <w:jc w:val="both"/>
        <w:ind w:left="5" w:right="180" w:firstLine="648"/>
        <w:spacing w:after="0" w:line="252" w:lineRule="auto"/>
        <w:rPr>
          <w:sz w:val="20"/>
          <w:szCs w:val="20"/>
          <w:color w:val="auto"/>
        </w:rPr>
      </w:pPr>
      <w:r>
        <w:rPr>
          <w:rFonts w:ascii="Arial" w:cs="Arial" w:eastAsia="Arial" w:hAnsi="Arial"/>
          <w:sz w:val="20"/>
          <w:szCs w:val="20"/>
          <w:color w:val="auto"/>
        </w:rPr>
        <w:t xml:space="preserve">Each director and Section 16 officer must provide the Filing Coordinator all relevant information with respect to any transaction to be undertaken in the Company’s securities (e.g., purchase or sale, the number of shares involved, the price, etc.). In some cases, the pertinent information may rest with the Section 16 officer or director’s broker or with family members, trusts, partnerships, corporations or other entities in which he or she has a reportable beneficial or pecuniary interest. In all cases, however, </w:t>
      </w:r>
      <w:r>
        <w:rPr>
          <w:rFonts w:ascii="Arial" w:cs="Arial" w:eastAsia="Arial" w:hAnsi="Arial"/>
          <w:sz w:val="20"/>
          <w:szCs w:val="20"/>
          <w:i w:val="1"/>
          <w:iCs w:val="1"/>
          <w:color w:val="auto"/>
        </w:rPr>
        <w:t>it is the Section 16 officer or director’s obligation</w:t>
      </w:r>
      <w:r>
        <w:rPr>
          <w:rFonts w:ascii="Arial" w:cs="Arial" w:eastAsia="Arial" w:hAnsi="Arial"/>
          <w:sz w:val="20"/>
          <w:szCs w:val="20"/>
          <w:color w:val="auto"/>
        </w:rPr>
        <w:t xml:space="preserve"> to collect the required information and forward it to the Filing Coordinator to ensure a complete, accurate and timely filing. Given the two business-day filing deadline, directors and Section 16 officers will not have an opportunity to review the form prior to filing, but a copy of the filed form will be provided to them. Please review the copy of the filed form and let the Filing Coordinator know as soon as possible if there are any changes that could require the filing of an amendment.</w:t>
      </w:r>
    </w:p>
    <w:p>
      <w:pPr>
        <w:spacing w:after="0" w:line="216" w:lineRule="exact"/>
        <w:rPr>
          <w:sz w:val="20"/>
          <w:szCs w:val="20"/>
          <w:color w:val="auto"/>
        </w:rPr>
      </w:pPr>
    </w:p>
    <w:p>
      <w:pPr>
        <w:ind w:left="25"/>
        <w:spacing w:after="0"/>
        <w:rPr>
          <w:sz w:val="20"/>
          <w:szCs w:val="20"/>
          <w:color w:val="auto"/>
        </w:rPr>
      </w:pPr>
      <w:r>
        <w:rPr>
          <w:rFonts w:ascii="Arial" w:cs="Arial" w:eastAsia="Arial" w:hAnsi="Arial"/>
          <w:sz w:val="20"/>
          <w:szCs w:val="20"/>
          <w:u w:val="single" w:color="auto"/>
          <w:color w:val="auto"/>
        </w:rPr>
        <w:t>Compliance with Rule 144</w:t>
      </w:r>
    </w:p>
    <w:p>
      <w:pPr>
        <w:spacing w:after="0" w:line="337" w:lineRule="exact"/>
        <w:rPr>
          <w:sz w:val="20"/>
          <w:szCs w:val="20"/>
          <w:color w:val="auto"/>
        </w:rPr>
      </w:pPr>
    </w:p>
    <w:p>
      <w:pPr>
        <w:jc w:val="both"/>
        <w:ind w:left="5" w:right="180" w:firstLine="486"/>
        <w:spacing w:after="0" w:line="254" w:lineRule="auto"/>
        <w:rPr>
          <w:sz w:val="20"/>
          <w:szCs w:val="20"/>
          <w:color w:val="auto"/>
        </w:rPr>
      </w:pPr>
      <w:r>
        <w:rPr>
          <w:rFonts w:ascii="Arial" w:cs="Arial" w:eastAsia="Arial" w:hAnsi="Arial"/>
          <w:sz w:val="20"/>
          <w:szCs w:val="20"/>
          <w:color w:val="auto"/>
        </w:rPr>
        <w:t>All sales of the Company’s securities by a director or Section 16 officer of the Company shall be made in compliance with SEC Rule 144. Any director or Section 16 officer contemplating the sale of the Company’s securities must first contact the Compliance Officer and instruct his or her broker to do the same. The Filing Coordinator will assist the director/Section 16 officer or his/her broker with the preparation and filing of any required Form 144. This includes coordination between the Compliance Officer and the seller’s broker in connection with sales pursuant to Rule 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565"/>
        <w:spacing w:after="0"/>
        <w:rPr>
          <w:sz w:val="20"/>
          <w:szCs w:val="20"/>
          <w:color w:val="auto"/>
        </w:rPr>
      </w:pPr>
      <w:r>
        <w:rPr>
          <w:rFonts w:ascii="Arial" w:cs="Arial" w:eastAsia="Arial" w:hAnsi="Arial"/>
          <w:sz w:val="14"/>
          <w:szCs w:val="14"/>
          <w:color w:val="auto"/>
        </w:rPr>
        <w:t>Page 8 of 10</w:t>
      </w:r>
    </w:p>
    <w:p>
      <w:pPr>
        <w:sectPr>
          <w:pgSz w:w="11900" w:h="16838" w:orient="portrait"/>
          <w:cols w:equalWidth="0" w:num="1">
            <w:col w:w="10665"/>
          </w:cols>
          <w:pgMar w:left="895" w:top="83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19.1</w:t>
      </w:r>
    </w:p>
    <w:p>
      <w:pPr>
        <w:spacing w:after="0" w:line="353"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Prohibited Transactions</w:t>
      </w:r>
    </w:p>
    <w:p>
      <w:pPr>
        <w:spacing w:after="0" w:line="256" w:lineRule="exact"/>
        <w:rPr>
          <w:sz w:val="20"/>
          <w:szCs w:val="20"/>
          <w:color w:val="auto"/>
        </w:rPr>
      </w:pPr>
    </w:p>
    <w:p>
      <w:pPr>
        <w:ind w:left="704" w:right="180" w:firstLine="648"/>
        <w:spacing w:after="0" w:line="271" w:lineRule="auto"/>
        <w:rPr>
          <w:sz w:val="20"/>
          <w:szCs w:val="20"/>
          <w:color w:val="auto"/>
        </w:rPr>
      </w:pPr>
      <w:r>
        <w:rPr>
          <w:rFonts w:ascii="Arial" w:cs="Arial" w:eastAsia="Arial" w:hAnsi="Arial"/>
          <w:sz w:val="20"/>
          <w:szCs w:val="20"/>
          <w:color w:val="auto"/>
        </w:rPr>
        <w:t>Members of the Board of Directors and Section 16 officers of Newell Brands Inc. also must comply with the following trading prohibitions:</w:t>
      </w:r>
    </w:p>
    <w:p>
      <w:pPr>
        <w:spacing w:after="0" w:line="196" w:lineRule="exact"/>
        <w:rPr>
          <w:sz w:val="20"/>
          <w:szCs w:val="20"/>
          <w:color w:val="auto"/>
        </w:rPr>
      </w:pPr>
    </w:p>
    <w:p>
      <w:pPr>
        <w:ind w:left="964" w:hanging="317"/>
        <w:spacing w:after="0"/>
        <w:tabs>
          <w:tab w:leader="none" w:pos="964" w:val="left"/>
        </w:tabs>
        <w:numPr>
          <w:ilvl w:val="1"/>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No trading during a pension plan blackout period; and</w:t>
      </w:r>
    </w:p>
    <w:p>
      <w:pPr>
        <w:spacing w:after="0" w:line="241" w:lineRule="exact"/>
        <w:rPr>
          <w:rFonts w:ascii="Times New Roman" w:cs="Times New Roman" w:eastAsia="Times New Roman" w:hAnsi="Times New Roman"/>
          <w:sz w:val="20"/>
          <w:szCs w:val="20"/>
          <w:color w:val="auto"/>
        </w:rPr>
      </w:pPr>
    </w:p>
    <w:p>
      <w:pPr>
        <w:ind w:left="964" w:right="180" w:hanging="317"/>
        <w:spacing w:after="0" w:line="285" w:lineRule="auto"/>
        <w:tabs>
          <w:tab w:leader="none" w:pos="952" w:val="left"/>
        </w:tabs>
        <w:numPr>
          <w:ilvl w:val="1"/>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After purchasing Company securities in the open market, the same class of Company securities may not then be sold in the open market during the six months following the purchase (or vice versa).</w:t>
      </w:r>
    </w:p>
    <w:p>
      <w:pPr>
        <w:spacing w:after="0" w:line="17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72"/>
        </w:numPr>
        <w:rPr>
          <w:rFonts w:ascii="Arial" w:cs="Arial" w:eastAsia="Arial" w:hAnsi="Arial"/>
          <w:sz w:val="20"/>
          <w:szCs w:val="20"/>
          <w:b w:val="1"/>
          <w:bCs w:val="1"/>
          <w:color w:val="332F2A"/>
        </w:rPr>
      </w:pPr>
      <w:r>
        <w:rPr>
          <w:rFonts w:ascii="Arial" w:cs="Arial" w:eastAsia="Arial" w:hAnsi="Arial"/>
          <w:sz w:val="20"/>
          <w:szCs w:val="20"/>
          <w:b w:val="1"/>
          <w:bCs w:val="1"/>
          <w:color w:val="332F2A"/>
        </w:rPr>
        <w:t>CORRECTIVE ACTION FOR NON-COMPLIANCE AND PROCEDURES FOR PROCESSING COMPLAINTS</w:t>
      </w:r>
    </w:p>
    <w:p>
      <w:pPr>
        <w:spacing w:after="0" w:line="245" w:lineRule="exact"/>
        <w:rPr>
          <w:sz w:val="20"/>
          <w:szCs w:val="20"/>
          <w:color w:val="auto"/>
        </w:rPr>
      </w:pPr>
    </w:p>
    <w:p>
      <w:pPr>
        <w:jc w:val="both"/>
        <w:ind w:left="644" w:right="180" w:firstLine="648"/>
        <w:spacing w:after="0" w:line="286" w:lineRule="auto"/>
        <w:rPr>
          <w:sz w:val="20"/>
          <w:szCs w:val="20"/>
          <w:color w:val="auto"/>
        </w:rPr>
      </w:pPr>
      <w:r>
        <w:rPr>
          <w:rFonts w:ascii="Arial" w:cs="Arial" w:eastAsia="Arial" w:hAnsi="Arial"/>
          <w:sz w:val="20"/>
          <w:szCs w:val="20"/>
          <w:color w:val="auto"/>
        </w:rPr>
        <w:t>Failure to comply with this Policy may include corrective action and enforcement subject to local legal requirements.</w:t>
      </w:r>
    </w:p>
    <w:p>
      <w:pPr>
        <w:spacing w:after="0" w:line="167" w:lineRule="exact"/>
        <w:rPr>
          <w:sz w:val="20"/>
          <w:szCs w:val="20"/>
          <w:color w:val="auto"/>
        </w:rPr>
      </w:pPr>
    </w:p>
    <w:p>
      <w:pPr>
        <w:jc w:val="both"/>
        <w:ind w:left="644" w:right="180" w:firstLine="648"/>
        <w:spacing w:after="0" w:line="255" w:lineRule="auto"/>
        <w:rPr>
          <w:sz w:val="20"/>
          <w:szCs w:val="20"/>
          <w:color w:val="auto"/>
        </w:rPr>
      </w:pPr>
      <w:r>
        <w:rPr>
          <w:rFonts w:ascii="Arial" w:cs="Arial" w:eastAsia="Arial" w:hAnsi="Arial"/>
          <w:sz w:val="20"/>
          <w:szCs w:val="20"/>
          <w:color w:val="auto"/>
        </w:rPr>
        <w:t>Questions about the Policy should be directed to a Compliance Officer. Complaints regarding this Policy, or a report of any violation of this Policy, may be submitted confidentially or anonymously via email to a Compliance Officer, ethics@newellco.com or via the Ethics Hotline at:</w:t>
      </w:r>
    </w:p>
    <w:p>
      <w:pPr>
        <w:ind w:left="1344"/>
        <w:spacing w:after="0"/>
        <w:rPr>
          <w:sz w:val="20"/>
          <w:szCs w:val="20"/>
          <w:color w:val="auto"/>
        </w:rPr>
      </w:pPr>
      <w:r>
        <w:rPr>
          <w:rFonts w:ascii="Arial" w:cs="Arial" w:eastAsia="Arial" w:hAnsi="Arial"/>
          <w:sz w:val="20"/>
          <w:szCs w:val="20"/>
          <w:color w:val="auto"/>
        </w:rPr>
        <w:t>https://secure.ethicspoint.com/domain/media/en/gui/52773/index.html.</w:t>
      </w:r>
    </w:p>
    <w:p>
      <w:pPr>
        <w:spacing w:after="0" w:line="238" w:lineRule="exact"/>
        <w:rPr>
          <w:sz w:val="20"/>
          <w:szCs w:val="20"/>
          <w:color w:val="auto"/>
        </w:rPr>
      </w:pPr>
    </w:p>
    <w:p>
      <w:pPr>
        <w:jc w:val="both"/>
        <w:ind w:left="644" w:right="180" w:firstLine="648"/>
        <w:spacing w:after="0" w:line="262" w:lineRule="auto"/>
        <w:rPr>
          <w:sz w:val="20"/>
          <w:szCs w:val="20"/>
          <w:color w:val="auto"/>
        </w:rPr>
      </w:pPr>
      <w:r>
        <w:rPr>
          <w:rFonts w:ascii="Arial" w:cs="Arial" w:eastAsia="Arial" w:hAnsi="Arial"/>
          <w:sz w:val="20"/>
          <w:szCs w:val="20"/>
          <w:color w:val="auto"/>
        </w:rPr>
        <w:t>Upon receipt of a complaint, the Compliance Officer will: (i) determine whether the complaint relates to this Policy; and (ii) when possible, acknowledge receipt of the complaint to the sender. The review process shall, to the fullest extent possible, honor the confidentiality of the complainant.</w:t>
      </w:r>
    </w:p>
    <w:p>
      <w:pPr>
        <w:spacing w:after="0" w:line="205" w:lineRule="exact"/>
        <w:rPr>
          <w:sz w:val="20"/>
          <w:szCs w:val="20"/>
          <w:color w:val="auto"/>
        </w:rPr>
      </w:pPr>
    </w:p>
    <w:p>
      <w:pPr>
        <w:jc w:val="both"/>
        <w:ind w:left="644" w:right="180" w:firstLine="648"/>
        <w:spacing w:after="0" w:line="262" w:lineRule="auto"/>
        <w:rPr>
          <w:sz w:val="20"/>
          <w:szCs w:val="20"/>
          <w:color w:val="auto"/>
        </w:rPr>
      </w:pPr>
      <w:r>
        <w:rPr>
          <w:rFonts w:ascii="Arial" w:cs="Arial" w:eastAsia="Arial" w:hAnsi="Arial"/>
          <w:sz w:val="20"/>
          <w:szCs w:val="20"/>
          <w:color w:val="auto"/>
        </w:rPr>
        <w:t>Prompt and appropriate corrective action will be taken when and as warranted by a determination of the Compliance Officer. The Compliance Officer may utilize outside legal counsel and other experts and advisors to investigate allegations of improper insider trading.</w:t>
      </w:r>
    </w:p>
    <w:p>
      <w:pPr>
        <w:spacing w:after="0" w:line="192"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The Chief Ethics &amp; Compliance Officer shall maintain a record of all complaints, including, but not limited to,</w:t>
      </w:r>
    </w:p>
    <w:p>
      <w:pPr>
        <w:spacing w:after="0" w:line="31" w:lineRule="exact"/>
        <w:rPr>
          <w:sz w:val="20"/>
          <w:szCs w:val="20"/>
          <w:color w:val="auto"/>
        </w:rPr>
      </w:pPr>
    </w:p>
    <w:p>
      <w:pPr>
        <w:jc w:val="both"/>
        <w:ind w:left="644" w:right="180" w:firstLine="3"/>
        <w:spacing w:after="0" w:line="249" w:lineRule="auto"/>
        <w:tabs>
          <w:tab w:leader="none" w:pos="948" w:val="left"/>
        </w:tabs>
        <w:numPr>
          <w:ilvl w:val="0"/>
          <w:numId w:val="73"/>
        </w:numPr>
        <w:rPr>
          <w:rFonts w:ascii="Arial" w:cs="Arial" w:eastAsia="Arial" w:hAnsi="Arial"/>
          <w:sz w:val="20"/>
          <w:szCs w:val="20"/>
          <w:color w:val="auto"/>
        </w:rPr>
      </w:pPr>
      <w:r>
        <w:rPr>
          <w:rFonts w:ascii="Arial" w:cs="Arial" w:eastAsia="Arial" w:hAnsi="Arial"/>
          <w:sz w:val="20"/>
          <w:szCs w:val="20"/>
          <w:color w:val="auto"/>
        </w:rPr>
        <w:t>substance of complaint; (b) date of receipt of the complaint; (c) actions taken to investigate the complaint and the dates on which such actions were taken; (d) recommendations made in response to the complaint and the date such recommendations were made; and (e) outcome of the investigation into the complaint and the date such determination was made (collectively, the “CO’s Log”). The above information shall be maintained on the CO’s Log for four (4) years from the date a complaint is made.</w:t>
      </w:r>
    </w:p>
    <w:p>
      <w:pPr>
        <w:spacing w:after="0" w:line="220" w:lineRule="exact"/>
        <w:rPr>
          <w:sz w:val="20"/>
          <w:szCs w:val="20"/>
          <w:color w:val="auto"/>
        </w:rPr>
      </w:pPr>
    </w:p>
    <w:p>
      <w:pPr>
        <w:ind w:left="644" w:right="180" w:firstLine="648"/>
        <w:spacing w:after="0" w:line="271" w:lineRule="auto"/>
        <w:rPr>
          <w:sz w:val="20"/>
          <w:szCs w:val="20"/>
          <w:color w:val="auto"/>
        </w:rPr>
      </w:pPr>
      <w:r>
        <w:rPr>
          <w:rFonts w:ascii="Arial" w:cs="Arial" w:eastAsia="Arial" w:hAnsi="Arial"/>
          <w:sz w:val="20"/>
          <w:szCs w:val="20"/>
          <w:color w:val="auto"/>
        </w:rPr>
        <w:t>The Company will not take any inappropriate retaliatory action against any Company employee with respect to good faith reporting of complaints relating to or arising out of the Securities Transaction Policy.</w:t>
      </w:r>
    </w:p>
    <w:p>
      <w:pPr>
        <w:spacing w:after="0" w:line="196" w:lineRule="exact"/>
        <w:rPr>
          <w:sz w:val="20"/>
          <w:szCs w:val="20"/>
          <w:color w:val="auto"/>
        </w:rPr>
      </w:pPr>
    </w:p>
    <w:p>
      <w:pPr>
        <w:ind w:left="644" w:right="180" w:firstLine="648"/>
        <w:spacing w:after="0" w:line="286" w:lineRule="auto"/>
        <w:rPr>
          <w:sz w:val="20"/>
          <w:szCs w:val="20"/>
          <w:color w:val="auto"/>
        </w:rPr>
      </w:pPr>
      <w:r>
        <w:rPr>
          <w:rFonts w:ascii="Arial" w:cs="Arial" w:eastAsia="Arial" w:hAnsi="Arial"/>
          <w:sz w:val="20"/>
          <w:szCs w:val="20"/>
          <w:color w:val="auto"/>
        </w:rPr>
        <w:t>The Company’s intent is to comply with all controlling national, federal, state, and local laws, rules, regulations and ordinances. If any portion of this Policy conflicts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24"/>
        <w:spacing w:after="0"/>
        <w:rPr>
          <w:sz w:val="20"/>
          <w:szCs w:val="20"/>
          <w:color w:val="auto"/>
        </w:rPr>
      </w:pPr>
      <w:r>
        <w:rPr>
          <w:rFonts w:ascii="Arial" w:cs="Arial" w:eastAsia="Arial" w:hAnsi="Arial"/>
          <w:sz w:val="14"/>
          <w:szCs w:val="14"/>
          <w:color w:val="auto"/>
        </w:rPr>
        <w:t>Page 9 of 10</w:t>
      </w:r>
    </w:p>
    <w:p>
      <w:pPr>
        <w:sectPr>
          <w:pgSz w:w="11900" w:h="16838" w:orient="portrait"/>
          <w:cols w:equalWidth="0" w:num="1">
            <w:col w:w="11124"/>
          </w:cols>
          <w:pgMar w:left="436" w:top="83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19.1</w:t>
      </w:r>
    </w:p>
    <w:p>
      <w:pPr>
        <w:spacing w:after="0" w:line="353" w:lineRule="exact"/>
        <w:rPr>
          <w:sz w:val="20"/>
          <w:szCs w:val="20"/>
          <w:color w:val="auto"/>
        </w:rPr>
      </w:pPr>
    </w:p>
    <w:p>
      <w:pPr>
        <w:jc w:val="both"/>
        <w:ind w:left="644" w:right="180"/>
        <w:spacing w:after="0" w:line="254" w:lineRule="auto"/>
        <w:rPr>
          <w:sz w:val="20"/>
          <w:szCs w:val="20"/>
          <w:color w:val="auto"/>
        </w:rPr>
      </w:pPr>
      <w:r>
        <w:rPr>
          <w:rFonts w:ascii="Arial" w:cs="Arial" w:eastAsia="Arial" w:hAnsi="Arial"/>
          <w:sz w:val="20"/>
          <w:szCs w:val="20"/>
          <w:color w:val="auto"/>
        </w:rPr>
        <w:t>with any such law, the controlling law applies. This Policy shall be reviewed by the Compliance Officer on a periodic basis. Newell may modify, revise, amend or delete its policies and procedures in whole or in part, with or without notice, as it deems necessary or appropriate and/or to comply with changes in the law. This Policy is not intended, nor should it be construed, as a guarantee or promise of employment for any specific length of time, or to create a contract of employment or other contractual rights.</w:t>
      </w:r>
    </w:p>
    <w:p>
      <w:pPr>
        <w:spacing w:after="0" w:line="200" w:lineRule="exact"/>
        <w:rPr>
          <w:sz w:val="20"/>
          <w:szCs w:val="20"/>
          <w:color w:val="auto"/>
        </w:rPr>
      </w:pPr>
    </w:p>
    <w:p>
      <w:pPr>
        <w:spacing w:after="0" w:line="228" w:lineRule="exact"/>
        <w:rPr>
          <w:sz w:val="20"/>
          <w:szCs w:val="20"/>
          <w:color w:val="auto"/>
        </w:rPr>
      </w:pPr>
    </w:p>
    <w:p>
      <w:pPr>
        <w:ind w:left="644" w:hanging="644"/>
        <w:spacing w:after="0"/>
        <w:tabs>
          <w:tab w:leader="none" w:pos="644"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332F2A"/>
        </w:rPr>
        <w:t>COMPANY TRANSACTIONS</w:t>
      </w:r>
    </w:p>
    <w:p>
      <w:pPr>
        <w:spacing w:after="0" w:line="218" w:lineRule="exact"/>
        <w:rPr>
          <w:sz w:val="20"/>
          <w:szCs w:val="20"/>
          <w:color w:val="auto"/>
        </w:rPr>
      </w:pPr>
    </w:p>
    <w:p>
      <w:pPr>
        <w:jc w:val="both"/>
        <w:ind w:left="644" w:right="180" w:firstLine="648"/>
        <w:spacing w:after="0" w:line="269" w:lineRule="auto"/>
        <w:rPr>
          <w:sz w:val="20"/>
          <w:szCs w:val="20"/>
          <w:color w:val="auto"/>
        </w:rPr>
      </w:pPr>
      <w:r>
        <w:rPr>
          <w:rFonts w:ascii="Arial" w:cs="Arial" w:eastAsia="Arial" w:hAnsi="Arial"/>
          <w:sz w:val="20"/>
          <w:szCs w:val="20"/>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of its own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29317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
        <w:spacing w:after="0"/>
        <w:rPr>
          <w:sz w:val="20"/>
          <w:szCs w:val="20"/>
          <w:color w:val="auto"/>
        </w:rPr>
      </w:pPr>
      <w:r>
        <w:rPr>
          <w:rFonts w:ascii="Arial" w:cs="Arial" w:eastAsia="Arial" w:hAnsi="Arial"/>
          <w:sz w:val="20"/>
          <w:szCs w:val="20"/>
          <w:color w:val="332F2A"/>
        </w:rPr>
        <w:t>Bradford R. Turner</w:t>
      </w:r>
    </w:p>
    <w:p>
      <w:pPr>
        <w:spacing w:after="0" w:line="18" w:lineRule="exact"/>
        <w:rPr>
          <w:sz w:val="20"/>
          <w:szCs w:val="20"/>
          <w:color w:val="auto"/>
        </w:rPr>
      </w:pPr>
    </w:p>
    <w:p>
      <w:pPr>
        <w:ind w:left="4"/>
        <w:spacing w:after="0"/>
        <w:rPr>
          <w:sz w:val="20"/>
          <w:szCs w:val="20"/>
          <w:color w:val="auto"/>
        </w:rPr>
      </w:pPr>
      <w:r>
        <w:rPr>
          <w:rFonts w:ascii="Arial" w:cs="Arial" w:eastAsia="Arial" w:hAnsi="Arial"/>
          <w:sz w:val="20"/>
          <w:szCs w:val="20"/>
          <w:color w:val="332F2A"/>
        </w:rPr>
        <w:t>Chief Legal &amp; Administrative Officer and Corporate Secretary</w:t>
      </w:r>
    </w:p>
    <w:p>
      <w:pPr>
        <w:spacing w:after="0" w:line="200" w:lineRule="exact"/>
        <w:rPr>
          <w:sz w:val="20"/>
          <w:szCs w:val="20"/>
          <w:color w:val="auto"/>
        </w:rPr>
      </w:pPr>
    </w:p>
    <w:p>
      <w:pPr>
        <w:spacing w:after="0" w:line="293"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332F2A"/>
        </w:rPr>
        <w:t xml:space="preserve">Revision history: </w:t>
      </w:r>
      <w:r>
        <w:rPr>
          <w:rFonts w:ascii="Arial" w:cs="Arial" w:eastAsia="Arial" w:hAnsi="Arial"/>
          <w:sz w:val="20"/>
          <w:szCs w:val="20"/>
          <w:color w:val="332F2A"/>
        </w:rPr>
        <w:t>Updated February 2025</w:t>
      </w:r>
    </w:p>
    <w:p>
      <w:pPr>
        <w:spacing w:after="0" w:line="20"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332F2A"/>
        </w:rPr>
        <w:t xml:space="preserve">Policy Owner: </w:t>
      </w:r>
      <w:r>
        <w:rPr>
          <w:rFonts w:ascii="Arial" w:cs="Arial" w:eastAsia="Arial" w:hAnsi="Arial"/>
          <w:sz w:val="20"/>
          <w:szCs w:val="20"/>
          <w:color w:val="332F2A"/>
        </w:rPr>
        <w:t>Deputy General Counsel</w:t>
      </w:r>
    </w:p>
    <w:p>
      <w:pPr>
        <w:spacing w:after="0" w:line="13"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332F2A"/>
        </w:rPr>
        <w:t xml:space="preserve">Executive Sponsor: </w:t>
      </w:r>
      <w:r>
        <w:rPr>
          <w:rFonts w:ascii="Arial" w:cs="Arial" w:eastAsia="Arial" w:hAnsi="Arial"/>
          <w:sz w:val="20"/>
          <w:szCs w:val="20"/>
          <w:color w:val="332F2A"/>
        </w:rPr>
        <w:t>Chief Legal &amp;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944"/>
        <w:spacing w:after="0"/>
        <w:rPr>
          <w:sz w:val="20"/>
          <w:szCs w:val="20"/>
          <w:color w:val="auto"/>
        </w:rPr>
      </w:pPr>
      <w:r>
        <w:rPr>
          <w:rFonts w:ascii="Arial" w:cs="Arial" w:eastAsia="Arial" w:hAnsi="Arial"/>
          <w:sz w:val="14"/>
          <w:szCs w:val="14"/>
          <w:color w:val="auto"/>
        </w:rPr>
        <w:t>Page 10 of 10</w:t>
      </w:r>
    </w:p>
    <w:p>
      <w:pPr>
        <w:sectPr>
          <w:pgSz w:w="11900" w:h="16838" w:orient="portrait"/>
          <w:cols w:equalWidth="0" w:num="1">
            <w:col w:w="11124"/>
          </w:cols>
          <w:pgMar w:left="436" w:top="83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42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32"/>
                <w:szCs w:val="32"/>
                <w:b w:val="1"/>
                <w:bCs w:val="1"/>
                <w:color w:val="auto"/>
              </w:rPr>
              <w:t>EXHIBIT 21.1</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180" w:type="dxa"/>
            <w:vAlign w:val="bottom"/>
          </w:tcPr>
          <w:p>
            <w:pPr>
              <w:jc w:val="center"/>
              <w:ind w:left="90"/>
              <w:spacing w:after="0"/>
              <w:rPr>
                <w:sz w:val="20"/>
                <w:szCs w:val="20"/>
                <w:color w:val="auto"/>
              </w:rPr>
            </w:pPr>
            <w:r>
              <w:rPr>
                <w:rFonts w:ascii="Times New Roman" w:cs="Times New Roman" w:eastAsia="Times New Roman" w:hAnsi="Times New Roman"/>
                <w:sz w:val="32"/>
                <w:szCs w:val="32"/>
                <w:b w:val="1"/>
                <w:bCs w:val="1"/>
                <w:color w:val="auto"/>
              </w:rPr>
              <w:t>NEWELL BRANDS INC. AND SUBSIDIARIES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180" w:type="dxa"/>
            <w:vAlign w:val="bottom"/>
          </w:tcPr>
          <w:p>
            <w:pPr>
              <w:jc w:val="center"/>
              <w:ind w:left="70"/>
              <w:spacing w:after="0"/>
              <w:rPr>
                <w:sz w:val="20"/>
                <w:szCs w:val="20"/>
                <w:color w:val="auto"/>
              </w:rPr>
            </w:pPr>
            <w:r>
              <w:rPr>
                <w:rFonts w:ascii="Times New Roman" w:cs="Times New Roman" w:eastAsia="Times New Roman" w:hAnsi="Times New Roman"/>
                <w:sz w:val="29"/>
                <w:szCs w:val="29"/>
                <w:b w:val="1"/>
                <w:bCs w:val="1"/>
                <w:color w:val="auto"/>
                <w:w w:val="99"/>
              </w:rPr>
              <w:t>Subsidiaries of the Registrant</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180" w:type="dxa"/>
            <w:vAlign w:val="bottom"/>
          </w:tcPr>
          <w:p>
            <w:pPr>
              <w:jc w:val="center"/>
              <w:ind w:left="70"/>
              <w:spacing w:after="0"/>
              <w:rPr>
                <w:sz w:val="20"/>
                <w:szCs w:val="20"/>
                <w:color w:val="auto"/>
              </w:rPr>
            </w:pPr>
            <w:r>
              <w:rPr>
                <w:rFonts w:ascii="Times New Roman" w:cs="Times New Roman" w:eastAsia="Times New Roman" w:hAnsi="Times New Roman"/>
                <w:sz w:val="29"/>
                <w:szCs w:val="29"/>
                <w:b w:val="1"/>
                <w:bCs w:val="1"/>
                <w:color w:val="auto"/>
                <w:w w:val="98"/>
              </w:rPr>
              <w:t>December 31, 2024</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NAME OF ENTITY</w:t>
            </w:r>
          </w:p>
        </w:tc>
        <w:tc>
          <w:tcPr>
            <w:tcW w:w="22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JURISDICTION</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Allegheny International Exercise Co.</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Allegre Puériculture S.A.S.</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France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American Household, Inc.</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Aparatos Electronicos de Saltillo, S.A. de C.V.</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Mexico</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Application des Gaz S.A.S.</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France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Aprica (Zhongshan) Ltd.</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China</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Aprica Childcare Institute-Aprica Ikuji Kenkyush Kabushiki Kaisha</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Japan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Baby Jogger, LLC</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Berol Corporation</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B-F Processing LLC</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Camping Gaz (Deutschland) GmbH</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Germany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Camping Gaz (Deutschland) GmbH (Hungen Branch)</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Germany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Camping Gaz (Suisse) SA</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Switzerland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Camping Gaz CS S.R.O.</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Czechia</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Camping Gaz Italia S.r.l.</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Italy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Canada GP Holdings LLC</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Cavoma LP</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Cayman Islands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Cavoma Ltd.</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Cayman Islands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Chemetron Corporation</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Chemetron Investments, Inc.</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Coleman (Deutschland) GmbH</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Germany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Coleman Benelux B.V.</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Netherlands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Coleman Benelux Holdings B.V.</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Netherlands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Coleman EMEA GmbH</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Germany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Coleman International Holdings, LLC</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Coleman Worldwide Corporation</w:t>
            </w:r>
          </w:p>
        </w:tc>
        <w:tc>
          <w:tcPr>
            <w:tcW w:w="220" w:type="dxa"/>
            <w:vAlign w:val="bottom"/>
          </w:tcPr>
          <w:p>
            <w:pPr>
              <w:spacing w:after="0"/>
              <w:rPr>
                <w:sz w:val="23"/>
                <w:szCs w:val="2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Dongguan HuiXun Electrical Products Co., Ltd.</w:t>
            </w:r>
          </w:p>
        </w:tc>
        <w:tc>
          <w:tcPr>
            <w:tcW w:w="2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China</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Dymo BV</w:t>
            </w:r>
          </w:p>
        </w:tc>
        <w:tc>
          <w:tcPr>
            <w:tcW w:w="2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Belgium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4"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Eliskim, Inc.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Elmer’s &amp; Toagosei Co.</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Embassy Products LLC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Facel S.A.S.</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Fountain Holdings Limited</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Gingham, LLC</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Graco Children's Products Inc.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Hereford NWL Limited</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Hogar Plus, SA</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Spain</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Holmes Products (Europe) Limited</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Holmes Products (Europe) Limited (French Branch)</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Ignite Holdings II, LLC</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Ignite Holdings, LLC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Ignite Hong Kong, Limited</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Hong Kong</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Industrias Corama S.A. de C.V.</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Mexico</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Infoswitch, Inc.</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Integrated Specialties, Inc.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Jarden Consumer Solutions (Asia) Limited</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Hong Kong</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Jarden Consumer Solutions (Europe) Limited</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Jarden Consumer Solutions of India Private Limited (in liquidation)</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India</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Jarden del Peru, S.A.C.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Peru</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Jarden LLC</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Jarden Lux Holdings S.à r.l.</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Jarden Lux II S.à r.l.</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Jarden Receivables, LLC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Jarden Switzerland Sarl</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Switzerland</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JCS Brasil Eletrodomésticos Ltda.</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Brazil</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Kansas Acquisition Corp.</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L.A. Services, Inc.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Leviathan Aqueduct Holdings B.V.</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Leviathan NES LLC</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Leviathan NWL Investments B.V.</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Luxembourg Brands S.à r.l.</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Magnetics and Electronics, Inc.</w:t>
            </w:r>
          </w:p>
        </w:tc>
        <w:tc>
          <w:tcPr>
            <w:tcW w:w="36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Mapa Gloves SDN BHD</w:t>
            </w:r>
          </w:p>
        </w:tc>
        <w:tc>
          <w:tcPr>
            <w:tcW w:w="36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22"/>
                <w:szCs w:val="22"/>
                <w:color w:val="auto"/>
              </w:rPr>
              <w:t>Malaysia</w:t>
            </w:r>
          </w:p>
        </w:tc>
      </w:tr>
    </w:tbl>
    <w:p>
      <w:pPr>
        <w:sectPr>
          <w:pgSz w:w="11900" w:h="16838" w:orient="portrait"/>
          <w:cols w:equalWidth="0" w:num="1">
            <w:col w:w="11240"/>
          </w:cols>
          <w:pgMar w:left="320" w:top="814" w:right="3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Mapa GmbH</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Germany</w:t>
            </w:r>
          </w:p>
        </w:tc>
      </w:tr>
      <w:tr>
        <w:trPr>
          <w:trHeight w:val="2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Mapa S.A.S.</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Mapa Spontex CE s.r.o</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Czechia</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Mapa Spontex Iberica SAU</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Spain</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Mapa Spontex Italia S.p.A.</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Italy</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Mapa Spontex Trading SDN BHD</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Malaysia</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Mapa Spontex UK Limited</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Mapa Virulana SAIC</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Argentina</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Marmot Mountain Canada Ltd.</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Marmot Mountain Europe GmbH</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Marmot Mountain Europe GmbH (UK Branch)</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Marmot Mountain, LLC</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Montey Corporation</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Montey Credit Corporation</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 Bra-Con Industries, Inc.</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Australia Pty. Limited</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Australia</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APAC Sourcing Limited</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Hong Kong</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APAC Treasury Limited</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Hong Kong</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Belgium BV</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Belgium</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Brasil Ltda.</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Brazil</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Canada ULC</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Cayman III Ltd.</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de Argentina S.A.</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Argentina</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de Chile Limitada</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Chile</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de Colombia S.A.S.</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Colombia</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de Mexico, S.A. de C.V.</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Mexico</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de Peru, S.A.C.</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Peru</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Distribution LLC</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Distribution México, S.A. de C.V.</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Mexico</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Germany GmbH</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HK Holdings Limited (in liquidation)</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Hong Kong</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HK Sourcing Limited</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Hong Kong</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Iberia, S.L.</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Spain</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Inc.</w:t>
            </w:r>
          </w:p>
        </w:tc>
        <w:tc>
          <w:tcPr>
            <w:tcW w:w="428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Industries LLC</w:t>
            </w:r>
          </w:p>
        </w:tc>
        <w:tc>
          <w:tcPr>
            <w:tcW w:w="42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United States</w:t>
            </w:r>
          </w:p>
        </w:tc>
      </w:tr>
    </w:tbl>
    <w:p>
      <w:pPr>
        <w:sectPr>
          <w:pgSz w:w="11900" w:h="16838" w:orient="portrait"/>
          <w:cols w:equalWidth="0" w:num="1">
            <w:col w:w="11240"/>
          </w:cols>
          <w:pgMar w:left="320" w:top="800"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International II B.V.</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Investment II, Inc.</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Ireland Services Designated Activity Company</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Ireland</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Japan G.K.</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Japan</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Lux Holding LP</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Lux III S.a.r.l.</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Lux Real Estate Holdings S.à r.l.</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Products (Shanghai) Co., Ltd.</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China</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Sourcing Corp.</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Brands Technical Center (Guangzhou) Company Limited</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China</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Brands UK Limited</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Europe Sàrl</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Switzerland</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Finance Company</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Holdings Limited</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Insurance Designated Activity Company</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Ireland</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International Capital SAS</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International Finance Co Limited Partnership</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Scotland</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Investments France SAS</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Investments Inc.</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Luxembourg Finance S.à r.l.</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New Zealand Limited</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New Zealand</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Operating Company</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Poland Services Sp. z o.o.</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Poland</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Puerto Rico, Ltd.</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(M) Sdn. Bhd</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Malaysia</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(Thailand) Co., Ltd.</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Thailand</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Asia Pacific Limited</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Hong Kong</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Asia Pacific Limited (Philippine Branch)</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Philippines</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Czech Republic s.r.o.</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Czechia</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Development LLC</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Global Sourcing Asia Ltd (India Branch)</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India</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Global Sourcing Asia Ltd.</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Global Sourcing Asia Ltd. (Taipei Branch)</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Taiwan</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Holding B.V.</w:t>
            </w:r>
          </w:p>
        </w:tc>
        <w:tc>
          <w:tcPr>
            <w:tcW w:w="376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Holdings LLC</w:t>
            </w:r>
          </w:p>
        </w:tc>
        <w:tc>
          <w:tcPr>
            <w:tcW w:w="37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22"/>
                <w:szCs w:val="22"/>
                <w:color w:val="auto"/>
              </w:rPr>
              <w:t>United States</w:t>
            </w:r>
          </w:p>
        </w:tc>
      </w:tr>
    </w:tbl>
    <w:p>
      <w:pPr>
        <w:sectPr>
          <w:pgSz w:w="11900" w:h="16838" w:orient="portrait"/>
          <w:cols w:equalWidth="0" w:num="1">
            <w:col w:w="11240"/>
          </w:cols>
          <w:pgMar w:left="320" w:top="814"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Hungary Trading Ltd.</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Hungary</w:t>
            </w:r>
          </w:p>
        </w:tc>
      </w:tr>
      <w:tr>
        <w:trPr>
          <w:trHeight w:val="2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Kirtasiye Ticaret ve Sanayi Limited Sirketi</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Turkey</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Mexicali, S. de R.L. de C.V.</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Mexico</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Panama S. de R.L.</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Panama</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Panama, S. de R.L. (Costa Rica Branch)</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Costa Rica</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Sweden AB</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Sweden</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UK Holdings Limited</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UK Production</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Newell Rubbermaid UK Services Limited</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Newell Rubbermaid US Finance Co.</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Northern Aqueduct Holdings LLC</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Northern Aqueduct I, B.V.</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Northern Aqueduct II, B.V.</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NR Capital Co.</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NR Finance Co.</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Austria GmbH</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Austria</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Cayman Holdings Ltd.</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Denmark Services Aps</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Denmark</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Europe Holdings LLC</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European Finance S.à r.l.</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Finland OY</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Finland</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France Production SAS</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France SAS</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France Services SAS</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Germany Office Products GmbH</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Germany Production GmbH</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GP Holdings LLC</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Hamburg Services GmbH</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Irish Holdings Ltd.</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Italy S.r.l.</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Italy</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Luxembourg S.à r.l.</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Luxembourg</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Netherlands Holding III B.V.</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Netherlands JP Holding B.V.</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Netherlands Services B.V.</w:t>
            </w:r>
          </w:p>
        </w:tc>
        <w:tc>
          <w:tcPr>
            <w:tcW w:w="38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7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Norway A/S</w:t>
            </w:r>
          </w:p>
        </w:tc>
        <w:tc>
          <w:tcPr>
            <w:tcW w:w="382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Norway</w:t>
            </w:r>
          </w:p>
        </w:tc>
      </w:tr>
    </w:tbl>
    <w:p>
      <w:pPr>
        <w:sectPr>
          <w:pgSz w:w="11900" w:h="16838" w:orient="portrait"/>
          <w:cols w:equalWidth="0" w:num="1">
            <w:col w:w="11240"/>
          </w:cols>
          <w:pgMar w:left="320" w:top="800"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South Africa (Pty) Limited</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South Africa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NWL Switzerland Sarl</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Switzerland</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NWL Valence Services SAS</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Oster de Venezuela Inc.</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Oster de Venezuela, S.C.A.</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Venezuela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Oster GmbH</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Oster VZ Holdings Inc.</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Outdoor Sports Gear, LLC</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Packs &amp; Travel Corporation</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Polyhedron Holdings Limited</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Prodox, S.A. de C.V. (in liquidation)</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Mexico</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Raider Motor Corporation</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Bahamas</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Repuestos Electronicos, S.A.</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Venezuela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Reynolds Pen International</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Reynolds Pens India Private Limited</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India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Reynolds Pens India Private Limited (Mumbai Branch)</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India</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Rubbermaid Commercial Products LLC</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Rubbermaid Europe Holding Inc.</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Rubbermaid Incorporated</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Rubbermaid Ireland Limited</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Ireland</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Rubbermaid Portugal Lda.</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Portugal</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Sanford Brands Venezuela Inc.</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Sanford Brands Venezuela, Inc. (Venezuelan Branch)</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Venezuela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Sanford GmbH Holding Company</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Sanford Holding LLC</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Sanford, L.P.</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Sanford, LLC</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Russia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Sevca, LLC</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Shakespeare Conductive Fibers, LLC</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 II, Inc.</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Sistema Plastics Australia Limited</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New Zealand</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Sistema Plastics Australia Limited (Australia Branch)</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Australia</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Sistema Plastics Limited</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New Zealand</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Sistema Plastics UK Limited</w:t>
            </w:r>
          </w:p>
        </w:tc>
        <w:tc>
          <w:tcPr>
            <w:tcW w:w="41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New Zealand</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Sistema Plastiques France Limited</w:t>
            </w:r>
          </w:p>
        </w:tc>
        <w:tc>
          <w:tcPr>
            <w:tcW w:w="41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22"/>
                <w:szCs w:val="22"/>
                <w:color w:val="auto"/>
              </w:rPr>
              <w:t>New Zealand</w:t>
            </w:r>
          </w:p>
        </w:tc>
      </w:tr>
    </w:tbl>
    <w:p>
      <w:pPr>
        <w:sectPr>
          <w:pgSz w:w="11900" w:h="16838" w:orient="portrait"/>
          <w:cols w:equalWidth="0" w:num="1">
            <w:col w:w="11240"/>
          </w:cols>
          <w:pgMar w:left="320" w:top="814"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Sitca LLC</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Smith Mountain Industries, Inc.</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Söke Handels GmbH</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Austria</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Söke-Hungaria Kft</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Hungary</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Spontex S.A.S.</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Summit Holdings Europe Ltd. (In Liquidation)</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Sunbeam Americas Holdings, LLC</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Sunbeam del Peru, S.A.</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Peru</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Sunbeam Products, Inc.</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Sunbeam Uruguay, S.A.</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Uruguay</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Sunbeam-Oster de Acuña, S.A. de C.V.</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Mexico</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Taiwan Aprica Inc. (In Liquidation)</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Taiwan</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Temrac Company, Inc.</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The Coleman Company, Inc.</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Newell Brands Charitable Foundation</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The Representative Office of Newell Rubbermaid Asia Pacific Limited</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Vietnam</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Wallingford Insurance Company Limited</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Bermuda</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The Yankee Candle Company, Inc.</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True Temper Venezuela, S.A.</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Venezuela</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Virumetal S.A.</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Uruguay</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Visant Company, LLC</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Visant Holding Company, LLC</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viskovita GmbH</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Waverly Products Company Limited</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Jamaica</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Woodshaft, Inc.</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X Properties, LLC</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Yankee Candle Admin LLC</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Yankee Candle Canada Inc.</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Canada</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Yankee Candle Company (Europe) Limited</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Yankee Candle Deutschland GmbH</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Yankee Candle France</w:t>
            </w:r>
          </w:p>
        </w:tc>
        <w:tc>
          <w:tcPr>
            <w:tcW w:w="35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France</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Yankee Candle s.r.o.</w:t>
            </w:r>
          </w:p>
        </w:tc>
        <w:tc>
          <w:tcPr>
            <w:tcW w:w="35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22"/>
                <w:szCs w:val="22"/>
                <w:color w:val="auto"/>
              </w:rPr>
              <w:t>Czechia</w:t>
            </w:r>
          </w:p>
        </w:tc>
      </w:tr>
    </w:tbl>
    <w:p>
      <w:pPr>
        <w:sectPr>
          <w:pgSz w:w="11900" w:h="16838" w:orient="portrait"/>
          <w:cols w:equalWidth="0" w:num="1">
            <w:col w:w="11240"/>
          </w:cols>
          <w:pgMar w:left="320" w:top="800" w:right="339" w:bottom="1440" w:gutter="0" w:footer="0" w:header="0"/>
        </w:sectPr>
      </w:pPr>
    </w:p>
    <w:bookmarkStart w:id="145" w:name="page146"/>
    <w:bookmarkEnd w:id="145"/>
    <w:p>
      <w:pPr>
        <w:jc w:val="right"/>
        <w:spacing w:after="0"/>
        <w:rPr>
          <w:sz w:val="20"/>
          <w:szCs w:val="20"/>
          <w:color w:val="auto"/>
        </w:rPr>
      </w:pPr>
      <w:r>
        <w:rPr>
          <w:rFonts w:ascii="Georgia" w:cs="Georgia" w:eastAsia="Georgia" w:hAnsi="Georgia"/>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Georgia" w:cs="Georgia" w:eastAsia="Georgia" w:hAnsi="Georgia"/>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40"/>
        <w:spacing w:after="0" w:line="230" w:lineRule="auto"/>
        <w:rPr>
          <w:sz w:val="20"/>
          <w:szCs w:val="20"/>
          <w:color w:val="auto"/>
        </w:rPr>
      </w:pPr>
      <w:r>
        <w:rPr>
          <w:rFonts w:ascii="Georgia" w:cs="Georgia" w:eastAsia="Georgia" w:hAnsi="Georgia"/>
          <w:sz w:val="22"/>
          <w:szCs w:val="22"/>
          <w:color w:val="auto"/>
        </w:rPr>
        <w:t>We hereby consent to the incorporation by reference in the Registration Statements on Form S-3 (No. 333-279561) and Form S-8 (Nos. 333-221872, 333-105113, 333-105177, 333-105178, 333-125144, 333-135153, 333-149133, 333-166946, 333-188411, 333-266416, 333-264694, and 333-279499) of Newell Brands Inc. of our report dated February 14,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Georgia" w:cs="Georgia" w:eastAsia="Georgia" w:hAnsi="Georgia"/>
          <w:sz w:val="22"/>
          <w:szCs w:val="22"/>
          <w:color w:val="auto"/>
        </w:rPr>
        <w:t>/s/ PricewaterhouseCoopers LLP</w:t>
      </w:r>
    </w:p>
    <w:p>
      <w:pPr>
        <w:spacing w:after="0" w:line="233" w:lineRule="auto"/>
        <w:rPr>
          <w:sz w:val="20"/>
          <w:szCs w:val="20"/>
          <w:color w:val="auto"/>
        </w:rPr>
      </w:pPr>
      <w:r>
        <w:rPr>
          <w:rFonts w:ascii="Georgia" w:cs="Georgia" w:eastAsia="Georgia" w:hAnsi="Georgia"/>
          <w:sz w:val="22"/>
          <w:szCs w:val="22"/>
          <w:color w:val="auto"/>
        </w:rPr>
        <w:t>Atlanta, Georgia</w:t>
      </w:r>
    </w:p>
    <w:p>
      <w:pPr>
        <w:spacing w:after="0" w:line="234" w:lineRule="auto"/>
        <w:rPr>
          <w:sz w:val="20"/>
          <w:szCs w:val="20"/>
          <w:color w:val="auto"/>
        </w:rPr>
      </w:pPr>
      <w:r>
        <w:rPr>
          <w:rFonts w:ascii="Georgia" w:cs="Georgia" w:eastAsia="Georgia" w:hAnsi="Georgia"/>
          <w:sz w:val="22"/>
          <w:szCs w:val="22"/>
          <w:color w:val="auto"/>
        </w:rPr>
        <w:t>February 14, 2025</w:t>
      </w:r>
    </w:p>
    <w:p>
      <w:pPr>
        <w:sectPr>
          <w:pgSz w:w="11900" w:h="16838" w:orient="portrait"/>
          <w:cols w:equalWidth="0" w:num="1">
            <w:col w:w="11240"/>
          </w:cols>
          <w:pgMar w:left="320" w:top="140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Christopher H. Peterson</w:t>
      </w:r>
      <w:r>
        <w:rPr>
          <w:rFonts w:ascii="Times New Roman" w:cs="Times New Roman" w:eastAsia="Times New Roman" w:hAnsi="Times New Roman"/>
          <w:sz w:val="20"/>
          <w:szCs w:val="20"/>
          <w:color w:val="auto"/>
        </w:rPr>
        <w:t>, certify that:</w:t>
      </w:r>
    </w:p>
    <w:p>
      <w:pPr>
        <w:spacing w:after="0" w:line="58" w:lineRule="exact"/>
        <w:rPr>
          <w:sz w:val="20"/>
          <w:szCs w:val="20"/>
          <w:color w:val="auto"/>
        </w:rPr>
      </w:pPr>
    </w:p>
    <w:p>
      <w:pPr>
        <w:ind w:left="520" w:hanging="494"/>
        <w:spacing w:after="0"/>
        <w:tabs>
          <w:tab w:leader="none" w:pos="5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Newell Brands Inc.;</w:t>
      </w:r>
    </w:p>
    <w:p>
      <w:pPr>
        <w:spacing w:after="0" w:line="215" w:lineRule="exact"/>
        <w:rPr>
          <w:rFonts w:ascii="Times New Roman" w:cs="Times New Roman" w:eastAsia="Times New Roman" w:hAnsi="Times New Roman"/>
          <w:sz w:val="20"/>
          <w:szCs w:val="20"/>
          <w:color w:val="auto"/>
        </w:rPr>
      </w:pPr>
    </w:p>
    <w:p>
      <w:pPr>
        <w:jc w:val="both"/>
        <w:ind w:left="520" w:right="20" w:hanging="494"/>
        <w:spacing w:after="0" w:line="226" w:lineRule="auto"/>
        <w:tabs>
          <w:tab w:leader="none" w:pos="5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jc w:val="both"/>
        <w:ind w:left="520" w:right="20" w:hanging="494"/>
        <w:spacing w:after="0" w:line="252" w:lineRule="auto"/>
        <w:tabs>
          <w:tab w:leader="none" w:pos="5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20" w:right="20" w:hanging="494"/>
        <w:spacing w:after="0" w:line="220" w:lineRule="auto"/>
        <w:tabs>
          <w:tab w:leader="none" w:pos="5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ind w:left="940" w:right="20" w:hanging="914"/>
        <w:spacing w:after="0" w:line="226" w:lineRule="auto"/>
        <w:tabs>
          <w:tab w:leader="none" w:pos="9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40" w:right="20" w:hanging="914"/>
        <w:spacing w:after="0" w:line="225" w:lineRule="auto"/>
        <w:tabs>
          <w:tab w:leader="none" w:pos="9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940" w:right="20" w:hanging="914"/>
        <w:spacing w:after="0" w:line="226" w:lineRule="auto"/>
        <w:tabs>
          <w:tab w:leader="none" w:pos="9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0"/>
          <w:szCs w:val="20"/>
          <w:color w:val="auto"/>
        </w:rPr>
      </w:pPr>
    </w:p>
    <w:p>
      <w:pPr>
        <w:jc w:val="both"/>
        <w:ind w:left="940" w:right="20" w:hanging="914"/>
        <w:spacing w:after="0" w:line="226" w:lineRule="auto"/>
        <w:tabs>
          <w:tab w:leader="none" w:pos="9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jc w:val="both"/>
        <w:ind w:left="520" w:right="20" w:hanging="494"/>
        <w:spacing w:after="0" w:line="226" w:lineRule="auto"/>
        <w:tabs>
          <w:tab w:leader="none" w:pos="5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jc w:val="both"/>
        <w:ind w:left="940" w:right="20" w:hanging="914"/>
        <w:spacing w:after="0" w:line="225" w:lineRule="auto"/>
        <w:tabs>
          <w:tab w:leader="none" w:pos="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40" w:right="20" w:hanging="914"/>
        <w:spacing w:after="0" w:line="239" w:lineRule="auto"/>
        <w:tabs>
          <w:tab w:leader="none" w:pos="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2025</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Christopher H.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3604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Christopher H. Peterson</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778"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Mark J. Erceg</w:t>
      </w:r>
      <w:r>
        <w:rPr>
          <w:rFonts w:ascii="Times New Roman" w:cs="Times New Roman" w:eastAsia="Times New Roman" w:hAnsi="Times New Roman"/>
          <w:sz w:val="20"/>
          <w:szCs w:val="20"/>
          <w:color w:val="auto"/>
        </w:rPr>
        <w:t>, certify that:</w:t>
      </w:r>
    </w:p>
    <w:p>
      <w:pPr>
        <w:spacing w:after="0" w:line="58" w:lineRule="exact"/>
        <w:rPr>
          <w:sz w:val="20"/>
          <w:szCs w:val="20"/>
          <w:color w:val="auto"/>
        </w:rPr>
      </w:pPr>
    </w:p>
    <w:p>
      <w:pPr>
        <w:ind w:left="520" w:hanging="494"/>
        <w:spacing w:after="0"/>
        <w:tabs>
          <w:tab w:leader="none" w:pos="5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Newell Brands Inc.;</w:t>
      </w:r>
    </w:p>
    <w:p>
      <w:pPr>
        <w:spacing w:after="0" w:line="28" w:lineRule="exact"/>
        <w:rPr>
          <w:rFonts w:ascii="Times New Roman" w:cs="Times New Roman" w:eastAsia="Times New Roman" w:hAnsi="Times New Roman"/>
          <w:sz w:val="20"/>
          <w:szCs w:val="20"/>
          <w:color w:val="auto"/>
        </w:rPr>
      </w:pPr>
    </w:p>
    <w:p>
      <w:pPr>
        <w:jc w:val="both"/>
        <w:ind w:left="520" w:right="20" w:hanging="494"/>
        <w:spacing w:after="0" w:line="225" w:lineRule="auto"/>
        <w:tabs>
          <w:tab w:leader="none" w:pos="5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jc w:val="both"/>
        <w:ind w:left="520" w:right="20" w:hanging="494"/>
        <w:spacing w:after="0" w:line="252" w:lineRule="auto"/>
        <w:tabs>
          <w:tab w:leader="none" w:pos="52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20" w:right="20" w:hanging="494"/>
        <w:spacing w:after="0" w:line="220" w:lineRule="auto"/>
        <w:tabs>
          <w:tab w:leader="none" w:pos="5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940" w:right="20" w:hanging="914"/>
        <w:spacing w:after="0" w:line="225" w:lineRule="auto"/>
        <w:tabs>
          <w:tab w:leader="none" w:pos="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jc w:val="both"/>
        <w:ind w:left="940" w:right="20" w:hanging="914"/>
        <w:spacing w:after="0" w:line="225" w:lineRule="auto"/>
        <w:tabs>
          <w:tab w:leader="none" w:pos="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40" w:right="20" w:hanging="914"/>
        <w:spacing w:after="0" w:line="225" w:lineRule="auto"/>
        <w:tabs>
          <w:tab w:leader="none" w:pos="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940" w:right="20" w:hanging="914"/>
        <w:spacing w:after="0" w:line="225" w:lineRule="auto"/>
        <w:tabs>
          <w:tab w:leader="none" w:pos="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jc w:val="both"/>
        <w:ind w:left="520" w:right="20" w:hanging="494"/>
        <w:spacing w:after="0" w:line="225" w:lineRule="auto"/>
        <w:tabs>
          <w:tab w:leader="none" w:pos="5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jc w:val="both"/>
        <w:ind w:left="940" w:right="20" w:hanging="914"/>
        <w:spacing w:after="0" w:line="225" w:lineRule="auto"/>
        <w:tabs>
          <w:tab w:leader="none" w:pos="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40" w:right="20" w:hanging="914"/>
        <w:spacing w:after="0" w:line="239" w:lineRule="auto"/>
        <w:tabs>
          <w:tab w:leader="none" w:pos="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Mark J. Erceg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1490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4">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Mark J. Erceg</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p>
      <w:pPr>
        <w:sectPr>
          <w:pgSz w:w="11900" w:h="16838" w:orient="portrait"/>
          <w:cols w:equalWidth="0" w:num="1">
            <w:col w:w="11240"/>
          </w:cols>
          <w:pgMar w:left="320" w:top="778"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In connection with the annual report of Newell Brands Inc. (the “Company”) on Form 10-K for the period ended December 31, 2024 as filed with the Securities and Exchange Commission on the date hereof (the “Report”), I, </w:t>
      </w:r>
      <w:r>
        <w:rPr>
          <w:rFonts w:ascii="Times New Roman" w:cs="Times New Roman" w:eastAsia="Times New Roman" w:hAnsi="Times New Roman"/>
          <w:sz w:val="19"/>
          <w:szCs w:val="19"/>
          <w:b w:val="1"/>
          <w:bCs w:val="1"/>
          <w:color w:val="auto"/>
        </w:rPr>
        <w:t>Christopher H. Peterson</w:t>
      </w:r>
      <w:r>
        <w:rPr>
          <w:rFonts w:ascii="Times New Roman" w:cs="Times New Roman" w:eastAsia="Times New Roman" w:hAnsi="Times New Roman"/>
          <w:sz w:val="19"/>
          <w:szCs w:val="19"/>
          <w:color w:val="auto"/>
        </w:rPr>
        <w:t>, President and Chief Executive Officer of the Company, certify, pursuant to 18 U.S.C. § 1350, as adopted pursuant to § 906 of the Sarbanes-Oxley Act of 2002, that:</w:t>
      </w:r>
    </w:p>
    <w:p>
      <w:pPr>
        <w:spacing w:after="0" w:line="124" w:lineRule="exact"/>
        <w:rPr>
          <w:sz w:val="20"/>
          <w:szCs w:val="20"/>
          <w:color w:val="auto"/>
        </w:rPr>
      </w:pPr>
    </w:p>
    <w:p>
      <w:pPr>
        <w:ind w:left="740" w:hanging="287"/>
        <w:spacing w:after="0"/>
        <w:tabs>
          <w:tab w:leader="none" w:pos="7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20"/>
          <w:szCs w:val="20"/>
          <w:color w:val="auto"/>
        </w:rPr>
      </w:pPr>
    </w:p>
    <w:p>
      <w:pPr>
        <w:ind w:firstLine="453"/>
        <w:spacing w:after="0" w:line="297" w:lineRule="auto"/>
        <w:tabs>
          <w:tab w:leader="none" w:pos="7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 Christopher H.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22860</wp:posOffset>
            </wp:positionV>
            <wp:extent cx="3505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Christopher H. Peterson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February 14, 2025</w:t>
      </w:r>
    </w:p>
    <w:p>
      <w:pPr>
        <w:sectPr>
          <w:pgSz w:w="11900" w:h="16838" w:orient="portrait"/>
          <w:cols w:equalWidth="0" w:num="1">
            <w:col w:w="11240"/>
          </w:cols>
          <w:pgMar w:left="320" w:top="1426"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In connection with the annual report of Newell Brands Inc. (the “Company”) on Form 10-K for the period ended December 31, 2024 as filed with the Securities and Exchange Commission on the date hereof (the “Report”), I, </w:t>
      </w:r>
      <w:r>
        <w:rPr>
          <w:rFonts w:ascii="Times New Roman" w:cs="Times New Roman" w:eastAsia="Times New Roman" w:hAnsi="Times New Roman"/>
          <w:sz w:val="20"/>
          <w:szCs w:val="20"/>
          <w:b w:val="1"/>
          <w:bCs w:val="1"/>
          <w:color w:val="auto"/>
        </w:rPr>
        <w:t>Mark J. Erceg</w:t>
      </w:r>
      <w:r>
        <w:rPr>
          <w:rFonts w:ascii="Times New Roman" w:cs="Times New Roman" w:eastAsia="Times New Roman" w:hAnsi="Times New Roman"/>
          <w:sz w:val="20"/>
          <w:szCs w:val="20"/>
          <w:color w:val="auto"/>
        </w:rPr>
        <w:t>, Chief Financial Officer of the Company, certify, pursuant to 18 U.S.C. § 1350, as adopted pursuant to § 906 of the Sarbanes-Oxley Act of 2002, that:</w:t>
      </w:r>
    </w:p>
    <w:p>
      <w:pPr>
        <w:spacing w:after="0" w:line="141" w:lineRule="exact"/>
        <w:rPr>
          <w:sz w:val="20"/>
          <w:szCs w:val="20"/>
          <w:color w:val="auto"/>
        </w:rPr>
      </w:pPr>
    </w:p>
    <w:p>
      <w:pPr>
        <w:ind w:left="740" w:hanging="287"/>
        <w:spacing w:after="0"/>
        <w:tabs>
          <w:tab w:leader="none" w:pos="7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20"/>
          <w:szCs w:val="20"/>
          <w:color w:val="auto"/>
        </w:rPr>
      </w:pPr>
    </w:p>
    <w:p>
      <w:pPr>
        <w:ind w:firstLine="453"/>
        <w:spacing w:after="0" w:line="297" w:lineRule="auto"/>
        <w:tabs>
          <w:tab w:leader="none" w:pos="73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 Mark J. Erceg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22860</wp:posOffset>
            </wp:positionV>
            <wp:extent cx="44405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6">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Mark J. Erceg</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February 14, 2025</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lowerLetter"/>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4"/>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1)"/>
      <w:numFmt w:val="decimal"/>
      <w:start w:val="2"/>
    </w:lvl>
  </w:abstractNum>
  <w:abstractNum w:abstractNumId="34">
    <w:nsid w:val="15B5AF5C"/>
    <w:multiLevelType w:val="hybridMultilevel"/>
    <w:lvl w:ilvl="0">
      <w:lvlJc w:val="left"/>
      <w:lvlText w:val="(%1)"/>
      <w:numFmt w:val="decimal"/>
      <w:start w:val="3"/>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lowerRoman"/>
      <w:start w:val="2"/>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decimal"/>
      <w:start w:val="2"/>
    </w:lvl>
  </w:abstractNum>
  <w:abstractNum w:abstractNumId="40">
    <w:nsid w:val="7E0C57B1"/>
    <w:multiLevelType w:val="hybridMultilevel"/>
    <w:lvl w:ilvl="0">
      <w:lvlJc w:val="left"/>
      <w:lvlText w:val="%1."/>
      <w:numFmt w:val="decimal"/>
      <w:start w:val="3"/>
    </w:lvl>
  </w:abstractNum>
  <w:abstractNum w:abstractNumId="41">
    <w:nsid w:val="77AE35EB"/>
    <w:multiLevelType w:val="hybridMultilevel"/>
    <w:lvl w:ilvl="0">
      <w:lvlJc w:val="left"/>
      <w:lvlText w:val="%1"/>
      <w:numFmt w:val="decimal"/>
      <w:start w:val="1"/>
    </w:lvl>
    <w:lvl w:ilvl="1">
      <w:lvlJc w:val="left"/>
      <w:lvlText w:val="(%2)"/>
      <w:numFmt w:val="lowerRoman"/>
      <w:start w:val="1"/>
    </w:lvl>
  </w:abstractNum>
  <w:abstractNum w:abstractNumId="42">
    <w:nsid w:val="579BE4F1"/>
    <w:multiLevelType w:val="hybridMultilevel"/>
    <w:lvl w:ilvl="0">
      <w:lvlJc w:val="left"/>
      <w:lvlText w:val="%1."/>
      <w:numFmt w:val="decimal"/>
      <w:start w:val="1"/>
    </w:lvl>
    <w:lvl w:ilvl="1">
      <w:lvlJc w:val="left"/>
      <w:lvlText w:val="%2"/>
      <w:numFmt w:val="lowerRoman"/>
      <w:start w:val="1"/>
    </w:lvl>
  </w:abstractNum>
  <w:abstractNum w:abstractNumId="43">
    <w:nsid w:val="310C50B3"/>
    <w:multiLevelType w:val="hybridMultilevel"/>
    <w:lvl w:ilvl="0">
      <w:lvlJc w:val="left"/>
      <w:lvlText w:val="%1."/>
      <w:numFmt w:val="decimal"/>
      <w:start w:val="4"/>
    </w:lvl>
  </w:abstractNum>
  <w:abstractNum w:abstractNumId="44">
    <w:nsid w:val="5FF87E05"/>
    <w:multiLevelType w:val="hybridMultilevel"/>
    <w:lvl w:ilvl="0">
      <w:lvlJc w:val="left"/>
      <w:lvlText w:val="%1."/>
      <w:numFmt w:val="upperLetter"/>
      <w:start w:val="9"/>
    </w:lvl>
  </w:abstractNum>
  <w:abstractNum w:abstractNumId="45">
    <w:nsid w:val="2F305DEF"/>
    <w:multiLevelType w:val="hybridMultilevel"/>
    <w:lvl w:ilvl="0">
      <w:lvlJc w:val="left"/>
      <w:lvlText w:val="%1."/>
      <w:numFmt w:val="upperLetter"/>
      <w:start w:val="35"/>
    </w:lvl>
  </w:abstractNum>
  <w:abstractNum w:abstractNumId="46">
    <w:nsid w:val="25A70BF7"/>
    <w:multiLevelType w:val="hybridMultilevel"/>
    <w:lvl w:ilvl="0">
      <w:lvlJc w:val="left"/>
      <w:lvlText w:val="%1."/>
      <w:numFmt w:val="upperLetter"/>
      <w:start w:val="61"/>
    </w:lvl>
  </w:abstractNum>
  <w:abstractNum w:abstractNumId="47">
    <w:nsid w:val="1DBABF00"/>
    <w:multiLevelType w:val="hybridMultilevel"/>
    <w:lvl w:ilvl="0">
      <w:lvlJc w:val="left"/>
      <w:lvlText w:val="%1."/>
      <w:numFmt w:val="upperLetter"/>
      <w:start w:val="22"/>
    </w:lvl>
  </w:abstractNum>
  <w:abstractNum w:abstractNumId="48">
    <w:nsid w:val="4AD084E9"/>
    <w:multiLevelType w:val="hybridMultilevel"/>
    <w:lvl w:ilvl="0">
      <w:lvlJc w:val="left"/>
      <w:lvlText w:val="(%1)"/>
      <w:numFmt w:val="lowerLetter"/>
      <w:start w:val="2"/>
    </w:lvl>
  </w:abstractNum>
  <w:abstractNum w:abstractNumId="49">
    <w:nsid w:val="1F48EAA1"/>
    <w:multiLevelType w:val="hybridMultilevel"/>
    <w:lvl w:ilvl="0">
      <w:lvlJc w:val="left"/>
      <w:lvlText w:val="(%1)"/>
      <w:numFmt w:val="lowerLetter"/>
      <w:start w:val="3"/>
    </w:lvl>
  </w:abstractNum>
  <w:abstractNum w:abstractNumId="50">
    <w:nsid w:val="1381823A"/>
    <w:multiLevelType w:val="hybridMultilevel"/>
    <w:lvl w:ilvl="0">
      <w:lvlJc w:val="left"/>
      <w:lvlText w:val="%1."/>
      <w:numFmt w:val="upperLetter"/>
      <w:start w:val="24"/>
    </w:lvl>
  </w:abstractNum>
  <w:abstractNum w:abstractNumId="51">
    <w:nsid w:val="5DB70AE5"/>
    <w:multiLevelType w:val="hybridMultilevel"/>
    <w:lvl w:ilvl="0">
      <w:lvlJc w:val="left"/>
      <w:lvlText w:val="(%1)"/>
      <w:numFmt w:val="lowerLetter"/>
      <w:start w:val="2"/>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upperLetter"/>
      <w:start w:val="1"/>
    </w:lvl>
    <w:lvl w:ilvl="1">
      <w:lvlJc w:val="left"/>
      <w:lvlText w:val="(%2)"/>
      <w:numFmt w:val="lowerLetter"/>
      <w:start w:val="2"/>
    </w:lvl>
  </w:abstractNum>
  <w:abstractNum w:abstractNumId="54">
    <w:nsid w:val="15014ACB"/>
    <w:multiLevelType w:val="hybridMultilevel"/>
    <w:lvl w:ilvl="0">
      <w:lvlJc w:val="left"/>
      <w:lvlText w:val="(%1)"/>
      <w:numFmt w:val="upperLetter"/>
      <w:start w:val="1"/>
    </w:lvl>
    <w:lvl w:ilvl="1">
      <w:lvlJc w:val="left"/>
      <w:lvlText w:val="%2"/>
      <w:numFmt w:val="lowerLetter"/>
      <w:start w:val="1"/>
    </w:lvl>
  </w:abstractNum>
  <w:abstractNum w:abstractNumId="55">
    <w:nsid w:val="5F5E7FD0"/>
    <w:multiLevelType w:val="hybridMultilevel"/>
    <w:lvl w:ilvl="0">
      <w:lvlJc w:val="left"/>
      <w:lvlText w:val="%1."/>
      <w:numFmt w:val="upperLetter"/>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10"/>
    </w:lvl>
  </w:abstractNum>
  <w:abstractNum w:abstractNumId="59">
    <w:nsid w:val="42C296BD"/>
    <w:multiLevelType w:val="hybridMultilevel"/>
    <w:lvl w:ilvl="0">
      <w:lvlJc w:val="left"/>
      <w:lvlText w:val="%1."/>
      <w:numFmt w:val="upperLetter"/>
      <w:start w:val="2"/>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upperLetter"/>
      <w:start w:val="3"/>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upperLetter"/>
      <w:start w:val="4"/>
    </w:lvl>
  </w:abstractNum>
  <w:abstractNum w:abstractNumId="67">
    <w:nsid w:val="613EFDC5"/>
    <w:multiLevelType w:val="hybridMultilevel"/>
    <w:lvl w:ilvl="0">
      <w:lvlJc w:val="left"/>
      <w:lvlText w:val="%1."/>
      <w:numFmt w:val="upperLetter"/>
      <w:start w:val="5"/>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upperLetter"/>
      <w:start w:val="6"/>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1."/>
      <w:numFmt w:val="upperLetter"/>
      <w:start w:val="6"/>
    </w:lvl>
    <w:lvl w:ilvl="1">
      <w:lvlJc w:val="left"/>
      <w:lvlText w:val="•"/>
      <w:numFmt w:val="bullet"/>
      <w:start w:val="1"/>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upperLetter"/>
      <w:start w:val="8"/>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decimal"/>
      <w:start w:val="5"/>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decimal"/>
      <w:start w:val="5"/>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6"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3" Type="http://schemas.openxmlformats.org/officeDocument/2006/relationships/image" Target="media/image109.png"/><Relationship Id="rId125" Type="http://schemas.openxmlformats.org/officeDocument/2006/relationships/image" Target="media/image110.png"/><Relationship Id="rId128" Type="http://schemas.openxmlformats.org/officeDocument/2006/relationships/image" Target="media/image111.png"/><Relationship Id="rId131" Type="http://schemas.openxmlformats.org/officeDocument/2006/relationships/image" Target="media/image112.png"/><Relationship Id="rId133" Type="http://schemas.openxmlformats.org/officeDocument/2006/relationships/image" Target="media/image113.png"/><Relationship Id="rId135" Type="http://schemas.openxmlformats.org/officeDocument/2006/relationships/image" Target="media/image114.png"/><Relationship Id="rId138" Type="http://schemas.openxmlformats.org/officeDocument/2006/relationships/image" Target="media/image115.png"/><Relationship Id="rId140" Type="http://schemas.openxmlformats.org/officeDocument/2006/relationships/image" Target="media/image116.png"/><Relationship Id="rId143" Type="http://schemas.openxmlformats.org/officeDocument/2006/relationships/image" Target="media/image117.png"/><Relationship Id="rId146" Type="http://schemas.openxmlformats.org/officeDocument/2006/relationships/image" Target="media/image118.png"/><Relationship Id="rId148" Type="http://schemas.openxmlformats.org/officeDocument/2006/relationships/image" Target="media/image119.png"/><Relationship Id="rId151" Type="http://schemas.openxmlformats.org/officeDocument/2006/relationships/image" Target="media/image120.png"/><Relationship Id="rId155" Type="http://schemas.openxmlformats.org/officeDocument/2006/relationships/image" Target="media/image121.png"/><Relationship Id="rId158" Type="http://schemas.openxmlformats.org/officeDocument/2006/relationships/image" Target="media/image122.png"/><Relationship Id="rId161" Type="http://schemas.openxmlformats.org/officeDocument/2006/relationships/image" Target="media/image123.png"/><Relationship Id="rId164" Type="http://schemas.openxmlformats.org/officeDocument/2006/relationships/image" Target="media/image124.png"/><Relationship Id="rId166" Type="http://schemas.openxmlformats.org/officeDocument/2006/relationships/image" Target="media/image125.png"/><Relationship Id="rId168" Type="http://schemas.openxmlformats.org/officeDocument/2006/relationships/image" Target="media/image126.png"/><Relationship Id="rId171" Type="http://schemas.openxmlformats.org/officeDocument/2006/relationships/image" Target="media/image127.png"/><Relationship Id="rId173" Type="http://schemas.openxmlformats.org/officeDocument/2006/relationships/image" Target="media/image128.png"/><Relationship Id="rId177" Type="http://schemas.openxmlformats.org/officeDocument/2006/relationships/image" Target="media/image129.png"/><Relationship Id="rId180"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7" Type="http://schemas.openxmlformats.org/officeDocument/2006/relationships/image" Target="media/image133.png"/><Relationship Id="rId190" Type="http://schemas.openxmlformats.org/officeDocument/2006/relationships/image" Target="media/image134.png"/><Relationship Id="rId193" Type="http://schemas.openxmlformats.org/officeDocument/2006/relationships/image" Target="media/image135.png"/><Relationship Id="rId195" Type="http://schemas.openxmlformats.org/officeDocument/2006/relationships/image" Target="media/image136.png"/><Relationship Id="rId199" Type="http://schemas.openxmlformats.org/officeDocument/2006/relationships/image" Target="media/image137.png"/><Relationship Id="rId201" Type="http://schemas.openxmlformats.org/officeDocument/2006/relationships/image" Target="media/image138.png"/><Relationship Id="rId203" Type="http://schemas.openxmlformats.org/officeDocument/2006/relationships/image" Target="media/image139.png"/><Relationship Id="rId205" Type="http://schemas.openxmlformats.org/officeDocument/2006/relationships/image" Target="media/image140.png"/><Relationship Id="rId208" Type="http://schemas.openxmlformats.org/officeDocument/2006/relationships/image" Target="media/image141.png"/><Relationship Id="rId211" Type="http://schemas.openxmlformats.org/officeDocument/2006/relationships/image" Target="media/image142.png"/><Relationship Id="rId215" Type="http://schemas.openxmlformats.org/officeDocument/2006/relationships/image" Target="media/image143.png"/><Relationship Id="rId218" Type="http://schemas.openxmlformats.org/officeDocument/2006/relationships/image" Target="media/image144.png"/><Relationship Id="rId220" Type="http://schemas.openxmlformats.org/officeDocument/2006/relationships/image" Target="media/image145.png"/><Relationship Id="rId224" Type="http://schemas.openxmlformats.org/officeDocument/2006/relationships/image" Target="media/image146.png"/><Relationship Id="rId227" Type="http://schemas.openxmlformats.org/officeDocument/2006/relationships/image" Target="media/image147.png"/><Relationship Id="rId230" Type="http://schemas.openxmlformats.org/officeDocument/2006/relationships/image" Target="media/image148.png"/><Relationship Id="rId232" Type="http://schemas.openxmlformats.org/officeDocument/2006/relationships/image" Target="media/image149.png"/><Relationship Id="rId234" Type="http://schemas.openxmlformats.org/officeDocument/2006/relationships/image" Target="media/image150.png"/><Relationship Id="rId235" Type="http://schemas.openxmlformats.org/officeDocument/2006/relationships/image" Target="media/image151.png"/><Relationship Id="rId237" Type="http://schemas.openxmlformats.org/officeDocument/2006/relationships/image" Target="media/image152.png"/><Relationship Id="rId240" Type="http://schemas.openxmlformats.org/officeDocument/2006/relationships/image" Target="media/image153.png"/><Relationship Id="rId244" Type="http://schemas.openxmlformats.org/officeDocument/2006/relationships/image" Target="media/image154.png"/><Relationship Id="rId245" Type="http://schemas.openxmlformats.org/officeDocument/2006/relationships/image" Target="media/image155.png"/><Relationship Id="rId246" Type="http://schemas.openxmlformats.org/officeDocument/2006/relationships/image" Target="media/image156.png"/><Relationship Id="rId248" Type="http://schemas.openxmlformats.org/officeDocument/2006/relationships/image" Target="media/image157.png"/><Relationship Id="rId249" Type="http://schemas.openxmlformats.org/officeDocument/2006/relationships/image" Target="media/image158.png"/><Relationship Id="rId250" Type="http://schemas.openxmlformats.org/officeDocument/2006/relationships/image" Target="media/image159.png"/><Relationship Id="rId251" Type="http://schemas.openxmlformats.org/officeDocument/2006/relationships/image" Target="media/image160.png"/><Relationship Id="rId252" Type="http://schemas.openxmlformats.org/officeDocument/2006/relationships/image" Target="media/image161.png"/><Relationship Id="rId253" Type="http://schemas.openxmlformats.org/officeDocument/2006/relationships/image" Target="media/image162.png"/><Relationship Id="rId254" Type="http://schemas.openxmlformats.org/officeDocument/2006/relationships/image" Target="media/image163.png"/><Relationship Id="rId255" Type="http://schemas.openxmlformats.org/officeDocument/2006/relationships/image" Target="media/image164.png"/><Relationship Id="rId256" Type="http://schemas.openxmlformats.org/officeDocument/2006/relationships/image" Target="media/image165.png"/><Relationship Id="rId257" Type="http://schemas.openxmlformats.org/officeDocument/2006/relationships/image" Target="media/image166.png"/><Relationship Id="rId258" Type="http://schemas.openxmlformats.org/officeDocument/2006/relationships/image" Target="media/image167.png"/><Relationship Id="rId259" Type="http://schemas.openxmlformats.org/officeDocument/2006/relationships/image" Target="media/image168.png"/><Relationship Id="rId260" Type="http://schemas.openxmlformats.org/officeDocument/2006/relationships/image" Target="media/image169.png"/><Relationship Id="rId261" Type="http://schemas.openxmlformats.org/officeDocument/2006/relationships/image" Target="media/image170.png"/><Relationship Id="rId262" Type="http://schemas.openxmlformats.org/officeDocument/2006/relationships/image" Target="media/image171.jpeg"/><Relationship Id="rId263" Type="http://schemas.openxmlformats.org/officeDocument/2006/relationships/image" Target="media/image172.png"/><Relationship Id="rId264" Type="http://schemas.openxmlformats.org/officeDocument/2006/relationships/image" Target="media/image173.png"/><Relationship Id="rId265" Type="http://schemas.openxmlformats.org/officeDocument/2006/relationships/image" Target="media/image174.png"/><Relationship Id="rId266" Type="http://schemas.openxmlformats.org/officeDocument/2006/relationships/image" Target="media/image175.png"/><Relationship Id="rId113" Type="http://schemas.openxmlformats.org/officeDocument/2006/relationships/hyperlink" Target="https://www.sec.gov/Archives/edgar/data/814453/000119312516543111/d179148dex31.htm" TargetMode="External"/><Relationship Id="rId114" Type="http://schemas.openxmlformats.org/officeDocument/2006/relationships/hyperlink" Target="https://www.sec.gov/Archives/edgar/data/814453/000119312519144259/d738214dex31.htm" TargetMode="External"/><Relationship Id="rId115" Type="http://schemas.openxmlformats.org/officeDocument/2006/relationships/hyperlink" Target="https://www.sec.gov/Archives/edgar/data/814453/000119312524136131/d807084dex31.htm" TargetMode="External"/><Relationship Id="rId117" Type="http://schemas.openxmlformats.org/officeDocument/2006/relationships/hyperlink" Target="https://www.sec.gov/Archives/edgar/data/814453/000119312524042851/d760670dex31.htm" TargetMode="External"/><Relationship Id="rId120" Type="http://schemas.openxmlformats.org/officeDocument/2006/relationships/hyperlink" Target="https://www.sec.gov/Archives/edgar/data/814453/000081445316000202/nwlex412016q1.htm" TargetMode="External"/><Relationship Id="rId121" Type="http://schemas.openxmlformats.org/officeDocument/2006/relationships/hyperlink" Target="https://www.sec.gov/Archives/edgar/data/814453/000119312512271046/d367160dex41.htm" TargetMode="External"/><Relationship Id="rId122" Type="http://schemas.openxmlformats.org/officeDocument/2006/relationships/hyperlink" Target="https://www.sec.gov/Archives/edgar/data/814453/000119312514417882/d822655dex41.htm" TargetMode="External"/><Relationship Id="rId124" Type="http://schemas.openxmlformats.org/officeDocument/2006/relationships/hyperlink" Target="https://www.sec.gov/Archives/edgar/data/814453/000119312524256691/d853098dex41.htm" TargetMode="External"/><Relationship Id="rId126" Type="http://schemas.openxmlformats.org/officeDocument/2006/relationships/hyperlink" Target="https://www.sec.gov/Archives/edgar/data/814453/000119312524256691/d853098dex42.htm" TargetMode="External"/><Relationship Id="rId127" Type="http://schemas.openxmlformats.org/officeDocument/2006/relationships/hyperlink" Target="https://www.sec.gov/Archives/edgar/data/814453/000119312514417882/d822655dex43.htm" TargetMode="External"/><Relationship Id="rId129" Type="http://schemas.openxmlformats.org/officeDocument/2006/relationships/hyperlink" Target="https://www.sec.gov/Archives/edgar/data/814453/000119312515346801/d99406dex42.htm" TargetMode="External"/><Relationship Id="rId130" Type="http://schemas.openxmlformats.org/officeDocument/2006/relationships/hyperlink" Target="https://www.sec.gov/Archives/edgar/data/814453/000119312516523262/d166570dex44.htm" TargetMode="External"/><Relationship Id="rId132" Type="http://schemas.openxmlformats.org/officeDocument/2006/relationships/hyperlink" Target="https://www.sec.gov/Archives/edgar/data/814453/000119312516523262/d166570dex45.htm" TargetMode="External"/><Relationship Id="rId134" Type="http://schemas.openxmlformats.org/officeDocument/2006/relationships/hyperlink" Target="https://www.sec.gov/Archives/edgar/data/814453/000119312516523262/d166570dex46.htm" TargetMode="External"/><Relationship Id="rId136" Type="http://schemas.openxmlformats.org/officeDocument/2006/relationships/hyperlink" Target="https://www.sec.gov/Archives/edgar/data/814453/000119312520151073/d927879dex41.htm" TargetMode="External"/><Relationship Id="rId137" Type="http://schemas.openxmlformats.org/officeDocument/2006/relationships/hyperlink" Target="https://www.sec.gov/Archives/edgar/data/814453/000119312522244497/d403265dex41.htm" TargetMode="External"/><Relationship Id="rId139" Type="http://schemas.openxmlformats.org/officeDocument/2006/relationships/hyperlink" Target="https://www.sec.gov/Archives/edgar/data/814453/000119312522244497/d403265dex42.htm" TargetMode="External"/><Relationship Id="rId141" Type="http://schemas.openxmlformats.org/officeDocument/2006/relationships/hyperlink" Target="https://www.sec.gov/Archives/edgar/data/814453/000119312521046509/d134884dex101.htm" TargetMode="External"/><Relationship Id="rId142" Type="http://schemas.openxmlformats.org/officeDocument/2006/relationships/hyperlink" Target="https://www.sec.gov/Archives/edgar/data/814453/000119312521046509/d134884dex102.htm" TargetMode="External"/><Relationship Id="rId144" Type="http://schemas.openxmlformats.org/officeDocument/2006/relationships/hyperlink" Target="https://www.sec.gov/Archives/edgar/data/814453/000081445322000012/exhibit101-2022longxtermin.htm" TargetMode="External"/><Relationship Id="rId145" Type="http://schemas.openxmlformats.org/officeDocument/2006/relationships/hyperlink" Target="https://www.sec.gov/Archives/edgar/data/814453/000081445322000069/exhibit104-2022formrsuawar.htm" TargetMode="External"/><Relationship Id="rId147" Type="http://schemas.openxmlformats.org/officeDocument/2006/relationships/hyperlink" Target="https://www.sec.gov/Archives/edgar/data/814453/000081445322000069/exhibit105-2022formrsuawar.htm" TargetMode="External"/><Relationship Id="rId149" Type="http://schemas.openxmlformats.org/officeDocument/2006/relationships/hyperlink" Target="https://www.sec.gov/Archives/edgar/data/814453/000081445322000069/exhibit106-2022formrsuawar.htm" TargetMode="External"/><Relationship Id="rId150" Type="http://schemas.openxmlformats.org/officeDocument/2006/relationships/hyperlink" Target="https://www.sec.gov/Archives/edgar/data/814453/000081445322000069/exhibit107-2022formstockop.htm" TargetMode="External"/><Relationship Id="rId152" Type="http://schemas.openxmlformats.org/officeDocument/2006/relationships/hyperlink" Target="https://www.sec.gov/Archives/edgar/data/814453/000081445322000069/exhibit108-2022formstockop.htm" TargetMode="External"/><Relationship Id="rId153" Type="http://schemas.openxmlformats.org/officeDocument/2006/relationships/hyperlink" Target="https://www.sec.gov/Archives/edgar/data/814453/000119312522082756/d191189ddef14a.htm#toc191189_18" TargetMode="External"/><Relationship Id="rId154" Type="http://schemas.openxmlformats.org/officeDocument/2006/relationships/hyperlink" Target="https://www.sec.gov/Archives/edgar/data/814453/000119312524136131/d807084dex101.htm" TargetMode="External"/><Relationship Id="rId156" Type="http://schemas.openxmlformats.org/officeDocument/2006/relationships/hyperlink" Target="https://www.sec.gov/Archives/edgar/data/814453/000119312522143659/d350738dex101.htm" TargetMode="External"/><Relationship Id="rId157" Type="http://schemas.openxmlformats.org/officeDocument/2006/relationships/hyperlink" Target="https://www.sec.gov/Archives/edgar/data/814453/000119312522143659/d350738dex102.htm" TargetMode="External"/><Relationship Id="rId159" Type="http://schemas.openxmlformats.org/officeDocument/2006/relationships/hyperlink" Target="https://www.sec.gov/Archives/edgar/data/814453/000081445313000096/nwl-exx105x2013xq2.htm" TargetMode="External"/><Relationship Id="rId160" Type="http://schemas.openxmlformats.org/officeDocument/2006/relationships/hyperlink" Target="https://www.sec.gov/Archives/edgar/data/814453/000081445317000073/newellfirstamendmentto2008.htm" TargetMode="External"/><Relationship Id="rId162" Type="http://schemas.openxmlformats.org/officeDocument/2006/relationships/hyperlink" Target="https://www.sec.gov/Archives/edgar/data/814453/000119312519061714/d660135dex104.htm" TargetMode="External"/><Relationship Id="rId163" Type="http://schemas.openxmlformats.org/officeDocument/2006/relationships/hyperlink" Target="https://www.sec.gov/Archives/edgar/data/814453/000119312519061714/d660135dex103.htm" TargetMode="External"/><Relationship Id="rId165" Type="http://schemas.openxmlformats.org/officeDocument/2006/relationships/hyperlink" Target="https://www.sec.gov/Archives/edgar/data/814453/000119312519061714/d660135dex102.htm" TargetMode="External"/><Relationship Id="rId167" Type="http://schemas.openxmlformats.org/officeDocument/2006/relationships/hyperlink" Target="https://www.sec.gov/Archives/edgar/data/814453/000081445322000129/exhibit104-fifthamendmentt.htm" TargetMode="External"/><Relationship Id="rId169" Type="http://schemas.openxmlformats.org/officeDocument/2006/relationships/hyperlink" Target="https://www.sec.gov/Archives/edgar/data/814453/000081445313000096/nwl-exx101x2013xq2.htm" TargetMode="External"/><Relationship Id="rId170" Type="http://schemas.openxmlformats.org/officeDocument/2006/relationships/hyperlink" Target="https://www.sec.gov/Archives/edgar/data/814453/000095013708003094/c24008exv10w7.htm" TargetMode="External"/><Relationship Id="rId172" Type="http://schemas.openxmlformats.org/officeDocument/2006/relationships/hyperlink" Target="https://www.sec.gov/Archives/edgar/data/814453/000081445313000096/nwl-exx106x2013xq2.htm" TargetMode="External"/><Relationship Id="rId174" Type="http://schemas.openxmlformats.org/officeDocument/2006/relationships/hyperlink" Target="https://www.sec.gov/Archives/edgar/data/814453/000119312519061714/d660135dex108.htm" TargetMode="External"/><Relationship Id="rId175" Type="http://schemas.openxmlformats.org/officeDocument/2006/relationships/hyperlink" Target="https://www.sec.gov/Archives/edgar/data/814453/000119312519061714/d660135dex1017.htm" TargetMode="External"/><Relationship Id="rId176" Type="http://schemas.openxmlformats.org/officeDocument/2006/relationships/hyperlink" Target="https://www.sec.gov/Archives/edgar/data/814453/000081445320000215/exhibitnewellsavings40.htm" TargetMode="External"/><Relationship Id="rId178" Type="http://schemas.openxmlformats.org/officeDocument/2006/relationships/hyperlink" Target="https://www.sec.gov/Archives/edgar/data/814453/000081445322000069/exhibit109-20211230newello.htm" TargetMode="External"/><Relationship Id="rId179" Type="http://schemas.openxmlformats.org/officeDocument/2006/relationships/hyperlink" Target="https://www.sec.gov/Archives/edgar/data/814453/000081445322000110/exhibit104-amendment3dated.htm" TargetMode="External"/><Relationship Id="rId181" Type="http://schemas.openxmlformats.org/officeDocument/2006/relationships/hyperlink" Target="https://www.sec.gov/Archives/edgar/data/814453/000081445323000026/exhibit1030-newellsavingsp.htm" TargetMode="External"/><Relationship Id="rId184" Type="http://schemas.openxmlformats.org/officeDocument/2006/relationships/hyperlink" Target="https://www.sec.gov/Archives/edgar/data/814453/000119312518067603/d494599dex107.htm" TargetMode="External"/><Relationship Id="rId185" Type="http://schemas.openxmlformats.org/officeDocument/2006/relationships/hyperlink" Target="https://www.sec.gov/Archives/edgar/data/814453/000119312519061714/d660135dex1012.htm" TargetMode="External"/><Relationship Id="rId186" Type="http://schemas.openxmlformats.org/officeDocument/2006/relationships/hyperlink" Target="https://www.sec.gov/Archives/edgar/data/814453/000081445322000110/exhibit103-amendment2dated.htm" TargetMode="External"/><Relationship Id="rId188" Type="http://schemas.openxmlformats.org/officeDocument/2006/relationships/hyperlink" Target="https://www.sec.gov/Archives/edgar/data/814453/000119312513132259/d466762ddef14a.htm#toc466762_18" TargetMode="External"/><Relationship Id="rId189" Type="http://schemas.openxmlformats.org/officeDocument/2006/relationships/hyperlink" Target="https://www.sec.gov/Archives/edgar/data/814453/000119312518159187/d332104dex104.htm" TargetMode="External"/><Relationship Id="rId191" Type="http://schemas.openxmlformats.org/officeDocument/2006/relationships/hyperlink" Target="https://www.sec.gov/Archives/edgar/data/814453/000081445319000111/secondamendmentto2013i.htm" TargetMode="External"/><Relationship Id="rId192" Type="http://schemas.openxmlformats.org/officeDocument/2006/relationships/hyperlink" Target="https://www.sec.gov/Archives/edgar/data/814453/000081445320000114/ex104-2020formstockopt.htm" TargetMode="External"/><Relationship Id="rId194" Type="http://schemas.openxmlformats.org/officeDocument/2006/relationships/hyperlink" Target="https://www.sec.gov/Archives/edgar/data/814453/000081445320000114/ex105-2020formstockopt.htm" TargetMode="External"/><Relationship Id="rId196" Type="http://schemas.openxmlformats.org/officeDocument/2006/relationships/hyperlink" Target="https://www.sec.gov/Archives/edgar/data/814453/000081445320000114/ex106-2020formstockopt.htm" TargetMode="External"/><Relationship Id="rId197" Type="http://schemas.openxmlformats.org/officeDocument/2006/relationships/hyperlink" Target="https://www.sec.gov/Archives/edgar/data/814453/000119312523031396/d446517dex103.htm" TargetMode="External"/><Relationship Id="rId198" Type="http://schemas.openxmlformats.org/officeDocument/2006/relationships/hyperlink" Target="https://www.sec.gov/Archives/edgar/data/814453/000119312524042840/d783808dex101.htm" TargetMode="External"/><Relationship Id="rId200" Type="http://schemas.openxmlformats.org/officeDocument/2006/relationships/hyperlink" Target="https://www.sec.gov/Archives/edgar/data/814453/000081445323000068/exhibit106-2023formltiprsu.htm" TargetMode="External"/><Relationship Id="rId202" Type="http://schemas.openxmlformats.org/officeDocument/2006/relationships/hyperlink" Target="https://www.sec.gov/Archives/edgar/data/814453/000081445323000068/exhibit107-2023formltiprsu.htm" TargetMode="External"/><Relationship Id="rId204" Type="http://schemas.openxmlformats.org/officeDocument/2006/relationships/hyperlink" Target="https://www.sec.gov/Archives/edgar/data/814453/000081445323000068/exhibit108-2023formltiprsu.htm" TargetMode="External"/><Relationship Id="rId206" Type="http://schemas.openxmlformats.org/officeDocument/2006/relationships/hyperlink" Target="https://www.sec.gov/Archives/edgar/data/814453/000081445323000139/exhibit106-2023nonemployee.htm" TargetMode="External"/><Relationship Id="rId207" Type="http://schemas.openxmlformats.org/officeDocument/2006/relationships/hyperlink" Target="https://www.sec.gov/Archives/edgar/data/814453/000081445324000058/exhibit104-2024formrsuawar.htm" TargetMode="External"/><Relationship Id="rId209" Type="http://schemas.openxmlformats.org/officeDocument/2006/relationships/hyperlink" Target="https://www.sec.gov/Archives/edgar/data/814453/000081445324000058/exhibit103-2024formrsuawar.htm" TargetMode="External"/><Relationship Id="rId210" Type="http://schemas.openxmlformats.org/officeDocument/2006/relationships/hyperlink" Target="https://www.sec.gov/Archives/edgar/data/814453/000081445324000106/exhibit102-2024nonxemploye.htm" TargetMode="External"/><Relationship Id="rId212" Type="http://schemas.openxmlformats.org/officeDocument/2006/relationships/hyperlink" Target="https://www.sec.gov/Archives/edgar/data/814453/000081445323000068/exhibit109-2022stockoption.htm" TargetMode="External"/><Relationship Id="rId213" Type="http://schemas.openxmlformats.org/officeDocument/2006/relationships/hyperlink" Target="https://www.sec.gov/Archives/edgar/data/814453/000081445323000139/exhibit105-2023nonemployee.htm" TargetMode="External"/><Relationship Id="rId214" Type="http://schemas.openxmlformats.org/officeDocument/2006/relationships/hyperlink" Target="https://www.sec.gov/Archives/edgar/data/814453/000081445315000041/nwl-ex1039x123114.htm" TargetMode="External"/><Relationship Id="rId216" Type="http://schemas.openxmlformats.org/officeDocument/2006/relationships/hyperlink" Target="https://www.sec.gov/Archives/edgar/data/814453/000081445320000215/waiverandterminationag.htm" TargetMode="External"/><Relationship Id="rId217" Type="http://schemas.openxmlformats.org/officeDocument/2006/relationships/hyperlink" Target="https://www.sec.gov/Archives/edgar/data/814453/000119312519061714/d660135dex1061.htm" TargetMode="External"/><Relationship Id="rId219" Type="http://schemas.openxmlformats.org/officeDocument/2006/relationships/hyperlink" Target="https://www.sec.gov/Archives/edgar/data/814453/000081445322000012/exhibit102-agreementxsever.htm" TargetMode="External"/><Relationship Id="rId221" Type="http://schemas.openxmlformats.org/officeDocument/2006/relationships/hyperlink" Target="https://www.sec.gov/Archives/edgar/data/814453/000119312523031396/d446517dex102.htm" TargetMode="External"/><Relationship Id="rId222" Type="http://schemas.openxmlformats.org/officeDocument/2006/relationships/hyperlink" Target="https://www.sec.gov/Archives/edgar/data/814453/000119312523031396/d446517dex101.htm" TargetMode="External"/><Relationship Id="rId223" Type="http://schemas.openxmlformats.org/officeDocument/2006/relationships/hyperlink" Target="https://www.sec.gov/Archives/edgar/data/814453/000119312519206923/d767832dex102.htm" TargetMode="External"/><Relationship Id="rId225" Type="http://schemas.openxmlformats.org/officeDocument/2006/relationships/hyperlink" Target="https://www.sec.gov/Archives/edgar/data/814453/000119312519206923/d767832dex103.htm" TargetMode="External"/><Relationship Id="rId226" Type="http://schemas.openxmlformats.org/officeDocument/2006/relationships/hyperlink" Target="https://www.sec.gov/Archives/edgar/data/814453/000119312523031396/d446517dex104.htm" TargetMode="External"/><Relationship Id="rId228" Type="http://schemas.openxmlformats.org/officeDocument/2006/relationships/hyperlink" Target="https://www.sec.gov/Archives/edgar/data/814453/000119312523149297/d512299dex101.htm" TargetMode="External"/><Relationship Id="rId229" Type="http://schemas.openxmlformats.org/officeDocument/2006/relationships/hyperlink" Target="https://www.sec.gov/Archives/edgar/data/814453/000081445323000139/exhibit102-2023specialince.htm" TargetMode="External"/><Relationship Id="rId231" Type="http://schemas.openxmlformats.org/officeDocument/2006/relationships/hyperlink" Target="https://www.sec.gov/Archives/edgar/data/814453/000081445323000139/exhibit103-2023specialince.htm" TargetMode="External"/><Relationship Id="rId233" Type="http://schemas.openxmlformats.org/officeDocument/2006/relationships/hyperlink" Target="https://www.sec.gov/Archives/edgar/data/814453/000081445323000139/exhibit104-2023specialince.htm" TargetMode="External"/><Relationship Id="rId236" Type="http://schemas.openxmlformats.org/officeDocument/2006/relationships/hyperlink" Target="https://www.sec.gov/Archives/edgar/data/814453/000119312522239028/d306628dex101.htm" TargetMode="External"/><Relationship Id="rId238" Type="http://schemas.openxmlformats.org/officeDocument/2006/relationships/hyperlink" Target="https://www.sec.gov/Archives/edgar/data/814453/000119312523086855/d478641dex101.htm" TargetMode="External"/><Relationship Id="rId239" Type="http://schemas.openxmlformats.org/officeDocument/2006/relationships/hyperlink" Target="https://www.sec.gov/Archives/edgar/data/814453/000119312524029292/d664568dex101.htm" TargetMode="External"/><Relationship Id="rId241" Type="http://schemas.openxmlformats.org/officeDocument/2006/relationships/hyperlink" Target="https://www.sec.gov/Archives/edgar/data/814453/000081445324000106/exhibit103-newellxcreditre.htm" TargetMode="External"/><Relationship Id="rId242" Type="http://schemas.openxmlformats.org/officeDocument/2006/relationships/hyperlink" Target="https://www.sec.gov/Archives/edgar/data/814453/000119312523251560/d548738dex101.htm" TargetMode="External"/><Relationship Id="rId243" Type="http://schemas.openxmlformats.org/officeDocument/2006/relationships/hyperlink" Target="https://www.sec.gov/Archives/edgar/data/814453/000119312523251560/d548738dex102.htm" TargetMode="External"/><Relationship Id="rId247" Type="http://schemas.openxmlformats.org/officeDocument/2006/relationships/hyperlink" Target="https://www.sec.gov/Archives/edgar/data/814453/000081445324000017/exhibit971-executivecomp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2025-02-14T15:59:37Z</dcterms:created>
  <dcterms:modified xsi:type="dcterms:W3CDTF">2025-02-14T15:59:37Z</dcterms:modified>
</cp:coreProperties>
</file>